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BA" w:rsidRPr="00CA55C0" w:rsidRDefault="001811BA" w:rsidP="00181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Статистический обзор обращений граждан, поступивших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году</w:t>
      </w:r>
      <w:r w:rsidRPr="00CA5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имя Губернатора Камчатского края, Первого вице-губернатора Камчатского края, Вице-губернатора Камчатского края, заместителей Председателя Правительства Камчатского края</w:t>
      </w:r>
    </w:p>
    <w:p w:rsidR="001811BA" w:rsidRPr="00CA55C0" w:rsidRDefault="001811BA" w:rsidP="00181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1BA" w:rsidRPr="00CA55C0" w:rsidRDefault="001811BA" w:rsidP="00181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году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содержащих 3404 вопроса граждан. 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аналогичным периодом прошлого года количество обращений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уменьшилось 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3093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2018 году).</w:t>
      </w:r>
    </w:p>
    <w:p w:rsidR="001811BA" w:rsidRDefault="001811BA" w:rsidP="00181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Практически вдвое уменьшилось количество обращений на имя Президента Российской Федерации, направленных на рассмотрение в Правительство Камчатского края. В 2018 году их было 964, в отчетном периоде – </w:t>
      </w:r>
      <w:r w:rsidRPr="00BB64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543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1811BA" w:rsidRDefault="001811BA" w:rsidP="00181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Повышенная активность граждан, обратившихся в 2018 году на имя Президента Российской Федерации, объясняется прошедшими в марте выборами Главы государства. </w:t>
      </w:r>
    </w:p>
    <w:p w:rsidR="001811BA" w:rsidRDefault="001811BA" w:rsidP="00181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9183A9" wp14:editId="4E74ABBB">
            <wp:simplePos x="0" y="0"/>
            <wp:positionH relativeFrom="margin">
              <wp:align>left</wp:align>
            </wp:positionH>
            <wp:positionV relativeFrom="paragraph">
              <wp:posOffset>699923</wp:posOffset>
            </wp:positionV>
            <wp:extent cx="6175375" cy="3077210"/>
            <wp:effectExtent l="0" t="0" r="0" b="889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за прошедшие четыре года наблюдается общая тенденция к снижению количества поступивших обращений, в том числе на имя Президента РФ, о чем говорят данные, приведенные в Диаграмме 1. </w:t>
      </w:r>
    </w:p>
    <w:p w:rsidR="001811BA" w:rsidRDefault="001811BA" w:rsidP="00181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1BA" w:rsidRDefault="001811BA" w:rsidP="00181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811BA" w:rsidRDefault="001811BA" w:rsidP="00181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обращений имеют простую письменную форму и поступили по почте либо переданы заявителями лично в Приемную граждан,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обращения поступают посредством факсимильной связи и в форме телеграмм.</w:t>
      </w:r>
    </w:p>
    <w:p w:rsidR="001811BA" w:rsidRDefault="001811BA" w:rsidP="00181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BA" w:rsidRPr="00CA55C0" w:rsidRDefault="001811BA" w:rsidP="00181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поступление обращений граждан осуществляется 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электронные сервисы Президента Российской Федерации и Правительства Камчатского края, сопроводительным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письмами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перенаправляются из иных государственных органов.</w:t>
      </w:r>
    </w:p>
    <w:p w:rsidR="001811BA" w:rsidRDefault="001811BA" w:rsidP="00181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BA" w:rsidRDefault="001811BA" w:rsidP="00181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Неуклонно растет количество обращений,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приемную исполнительных органов государственной власти Камчатского края, размещенную по адресу </w:t>
      </w:r>
      <w:hyperlink r:id="rId5" w:history="1">
        <w:r w:rsidRPr="00416A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16A3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16A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kamgov</w:t>
        </w:r>
        <w:proofErr w:type="spellEnd"/>
        <w:r w:rsidRPr="00416A3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16A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большее количество граждан, реализуя свое право на обращение в государственные органы, выбирают электронную форму направления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обращения. Изложенное говорит и о большей доступности информационных технологий для населения. Данные приведены в таблице ниже.</w:t>
      </w:r>
    </w:p>
    <w:p w:rsidR="001811BA" w:rsidRDefault="001811BA" w:rsidP="00181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1811BA" w:rsidTr="001811BA">
        <w:tc>
          <w:tcPr>
            <w:tcW w:w="2337" w:type="dxa"/>
          </w:tcPr>
          <w:p w:rsidR="001811BA" w:rsidRPr="00CC0AAD" w:rsidRDefault="001811BA" w:rsidP="00475A6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0A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2336" w:type="dxa"/>
          </w:tcPr>
          <w:p w:rsidR="001811BA" w:rsidRPr="00CC0AAD" w:rsidRDefault="001811BA" w:rsidP="00475A6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0A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2336" w:type="dxa"/>
          </w:tcPr>
          <w:p w:rsidR="001811BA" w:rsidRPr="00CC0AAD" w:rsidRDefault="001811BA" w:rsidP="00475A6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0A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2336" w:type="dxa"/>
          </w:tcPr>
          <w:p w:rsidR="001811BA" w:rsidRPr="00CC0AAD" w:rsidRDefault="001811BA" w:rsidP="00475A6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0A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2019 год</w:t>
            </w:r>
          </w:p>
        </w:tc>
      </w:tr>
      <w:tr w:rsidR="001811BA" w:rsidTr="001811BA">
        <w:tc>
          <w:tcPr>
            <w:tcW w:w="2337" w:type="dxa"/>
          </w:tcPr>
          <w:p w:rsidR="001811BA" w:rsidRDefault="001811BA" w:rsidP="00475A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1BA" w:rsidRDefault="001811BA" w:rsidP="00475A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  <w:p w:rsidR="001811BA" w:rsidRDefault="001811BA" w:rsidP="00475A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1811BA" w:rsidRDefault="001811BA" w:rsidP="00475A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1BA" w:rsidRDefault="001811BA" w:rsidP="00475A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2336" w:type="dxa"/>
          </w:tcPr>
          <w:p w:rsidR="001811BA" w:rsidRDefault="001811BA" w:rsidP="00475A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1BA" w:rsidRDefault="001811BA" w:rsidP="00475A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2336" w:type="dxa"/>
          </w:tcPr>
          <w:p w:rsidR="001811BA" w:rsidRDefault="001811BA" w:rsidP="00475A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1BA" w:rsidRDefault="001811BA" w:rsidP="00475A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</w:tr>
    </w:tbl>
    <w:p w:rsidR="001811BA" w:rsidRDefault="001811BA" w:rsidP="00181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BA" w:rsidRPr="00CA55C0" w:rsidRDefault="001811BA" w:rsidP="00181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13,4 % от общего количества обращений было принято и рассмотрено в порядке статьи 13 Федерального закона от</w:t>
      </w:r>
      <w:r w:rsidRPr="00A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мая 2006 года № 59-ФЗ «О порядке рассмотрения обращений 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ждан Российской Федерации», то есть в ходе личных приемов граждан. </w:t>
      </w:r>
    </w:p>
    <w:p w:rsidR="001811BA" w:rsidRDefault="001811BA" w:rsidP="00181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BA" w:rsidRDefault="001811BA" w:rsidP="00181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личном приеме Губернатором Камчатского края, Первым вице-губернатором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Вице-Губернатором Камчатского края – Руководителем Аппарата Губернатора и Правительства Камчатского края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Правительства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129 обращений </w:t>
      </w:r>
      <w:r w:rsidRPr="00765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выездных приемов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муниципальных районах края (в 2018 году таких обращений было 75)</w:t>
      </w:r>
    </w:p>
    <w:p w:rsidR="001811BA" w:rsidRPr="00CA55C0" w:rsidRDefault="001811BA" w:rsidP="00181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7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3"/>
        <w:gridCol w:w="2906"/>
        <w:gridCol w:w="2758"/>
      </w:tblGrid>
      <w:tr w:rsidR="001811BA" w:rsidRPr="00671164" w:rsidTr="00475A62">
        <w:trPr>
          <w:cantSplit/>
          <w:trHeight w:val="684"/>
          <w:tblHeader/>
        </w:trPr>
        <w:tc>
          <w:tcPr>
            <w:tcW w:w="2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BA" w:rsidRPr="00BC7073" w:rsidRDefault="001811BA" w:rsidP="0047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26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BA" w:rsidRPr="00BC7073" w:rsidRDefault="001811BA" w:rsidP="0047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приемов в 2019 году</w:t>
            </w:r>
          </w:p>
        </w:tc>
      </w:tr>
      <w:tr w:rsidR="001811BA" w:rsidRPr="00671164" w:rsidTr="00475A62">
        <w:trPr>
          <w:cantSplit/>
          <w:trHeight w:val="549"/>
        </w:trPr>
        <w:tc>
          <w:tcPr>
            <w:tcW w:w="2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BA" w:rsidRPr="00BC7073" w:rsidRDefault="001811BA" w:rsidP="0047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A" w:rsidRPr="00BC7073" w:rsidRDefault="001811BA" w:rsidP="0047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приемов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A" w:rsidRPr="00BC7073" w:rsidRDefault="001811BA" w:rsidP="0047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выездных</w:t>
            </w:r>
          </w:p>
        </w:tc>
      </w:tr>
      <w:tr w:rsidR="001811BA" w:rsidRPr="00671164" w:rsidTr="00475A62">
        <w:trPr>
          <w:cantSplit/>
          <w:trHeight w:val="680"/>
        </w:trPr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BA" w:rsidRPr="00BC7073" w:rsidRDefault="001811BA" w:rsidP="0047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Илюхин</w:t>
            </w:r>
            <w:proofErr w:type="spellEnd"/>
            <w:r w:rsidRPr="00BC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(Губернатор)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A" w:rsidRPr="00BC7073" w:rsidRDefault="001811BA" w:rsidP="0047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A" w:rsidRPr="00BC7073" w:rsidRDefault="001811BA" w:rsidP="0047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1811BA" w:rsidRPr="00671164" w:rsidTr="00475A62">
        <w:trPr>
          <w:cantSplit/>
          <w:trHeight w:val="680"/>
        </w:trPr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BA" w:rsidRPr="00BC7073" w:rsidRDefault="001811BA" w:rsidP="0047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Унтилова</w:t>
            </w:r>
            <w:proofErr w:type="spellEnd"/>
            <w:r w:rsidRPr="00BC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 (Первый вице-губернатор)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A" w:rsidRPr="00BC7073" w:rsidRDefault="001811BA" w:rsidP="0047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A" w:rsidRPr="00BC7073" w:rsidRDefault="001811BA" w:rsidP="0047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811BA" w:rsidRPr="00671164" w:rsidTr="00475A62">
        <w:trPr>
          <w:cantSplit/>
          <w:trHeight w:val="680"/>
        </w:trPr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BA" w:rsidRPr="00BC7073" w:rsidRDefault="001811BA" w:rsidP="0047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Войтов А.Ю. (вице-губернатор – Руководитель Аппарата Губернатора и Правительства) 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A" w:rsidRDefault="001811BA" w:rsidP="0047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A" w:rsidRDefault="001811BA" w:rsidP="0047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11BA" w:rsidRPr="00671164" w:rsidTr="00475A62">
        <w:trPr>
          <w:cantSplit/>
          <w:trHeight w:val="680"/>
        </w:trPr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BA" w:rsidRPr="00BC7073" w:rsidRDefault="001811BA" w:rsidP="0047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Т.Ю. (заместитель Председателя Правительства)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A" w:rsidRPr="00BC7073" w:rsidRDefault="001811BA" w:rsidP="0047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A" w:rsidRPr="00BC7073" w:rsidRDefault="001811BA" w:rsidP="0047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811BA" w:rsidRPr="00671164" w:rsidTr="00475A62">
        <w:trPr>
          <w:cantSplit/>
          <w:trHeight w:val="680"/>
        </w:trPr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BA" w:rsidRPr="00BC7073" w:rsidRDefault="001811BA" w:rsidP="0047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Зубарь</w:t>
            </w:r>
            <w:proofErr w:type="spellEnd"/>
            <w:r w:rsidRPr="00BC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 (заместитель Председателя Правительства)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A" w:rsidRPr="00BC7073" w:rsidRDefault="001811BA" w:rsidP="0047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A" w:rsidRPr="00BC7073" w:rsidRDefault="001811BA" w:rsidP="0047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11BA" w:rsidRPr="00671164" w:rsidTr="00475A62">
        <w:trPr>
          <w:cantSplit/>
          <w:trHeight w:val="680"/>
        </w:trPr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BA" w:rsidRPr="00BC7073" w:rsidRDefault="001811BA" w:rsidP="0047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М.А. (заместитель Председателя Правительства)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A" w:rsidRPr="00BC7073" w:rsidRDefault="001811BA" w:rsidP="0047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A" w:rsidRPr="00BC7073" w:rsidRDefault="001811BA" w:rsidP="0047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811BA" w:rsidRPr="00671164" w:rsidTr="00475A62">
        <w:trPr>
          <w:cantSplit/>
          <w:trHeight w:val="680"/>
        </w:trPr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BA" w:rsidRPr="00BC7073" w:rsidRDefault="001811BA" w:rsidP="0047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 С.И. (заместитель Председателя Правительства)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A" w:rsidRPr="00BC7073" w:rsidRDefault="001811BA" w:rsidP="0047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A" w:rsidRPr="00BC7073" w:rsidRDefault="001811BA" w:rsidP="0047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11BA" w:rsidRPr="00671164" w:rsidTr="00475A62">
        <w:trPr>
          <w:cantSplit/>
          <w:trHeight w:val="680"/>
        </w:trPr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BA" w:rsidRPr="00BC7073" w:rsidRDefault="001811BA" w:rsidP="0047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BC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(заместитель Председателя Правительства)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A" w:rsidRPr="00BC7073" w:rsidRDefault="001811BA" w:rsidP="0047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A" w:rsidRPr="00BC7073" w:rsidRDefault="001811BA" w:rsidP="0047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811BA" w:rsidRPr="00671164" w:rsidTr="00475A62">
        <w:trPr>
          <w:cantSplit/>
          <w:trHeight w:val="680"/>
        </w:trPr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BA" w:rsidRPr="00BC7073" w:rsidRDefault="001811BA" w:rsidP="0047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Пригорнев</w:t>
            </w:r>
            <w:proofErr w:type="spellEnd"/>
            <w:r w:rsidRPr="00BC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В.Б. (заместитель Председателя Правительства)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A" w:rsidRPr="00BC7073" w:rsidRDefault="001811BA" w:rsidP="0047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A" w:rsidRPr="00BC7073" w:rsidRDefault="001811BA" w:rsidP="0047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811BA" w:rsidRPr="00BC7073" w:rsidTr="00475A62">
        <w:trPr>
          <w:cantSplit/>
          <w:trHeight w:val="327"/>
        </w:trPr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BA" w:rsidRPr="00BC7073" w:rsidRDefault="001811BA" w:rsidP="0047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A" w:rsidRPr="00BC7073" w:rsidRDefault="001811BA" w:rsidP="0047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A" w:rsidRPr="00BC7073" w:rsidRDefault="001811BA" w:rsidP="0047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</w:tbl>
    <w:p w:rsidR="001811BA" w:rsidRPr="00CA55C0" w:rsidRDefault="001811BA" w:rsidP="00181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BA" w:rsidRPr="00CA55C0" w:rsidRDefault="001811BA" w:rsidP="00181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1BA" w:rsidRDefault="001811BA" w:rsidP="00181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BA" w:rsidRPr="00362818" w:rsidRDefault="001811BA" w:rsidP="00181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62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Кроме того,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четверо</w:t>
      </w:r>
      <w:r w:rsidRPr="0036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Камчатского края принято должностными лицами Администрации Президента Российской Федерации в режиме видео-конференц-связи. По поручению Губернатора Камчатского края в указанных приемах принимали участие заместители Председателя Правительства Камчатского края </w:t>
      </w:r>
      <w:proofErr w:type="spellStart"/>
      <w:r w:rsidRPr="0036281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Зубарь</w:t>
      </w:r>
      <w:proofErr w:type="spellEnd"/>
      <w:r w:rsidRPr="0036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Смирнов Т.Ю.</w:t>
      </w:r>
      <w:r w:rsidRPr="0036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Вице-губернатор Камчатского края – Руководитель Аппарата Губернатора и Правительства Камчатского края Войтов А.Ю.</w:t>
      </w:r>
    </w:p>
    <w:p w:rsidR="001811BA" w:rsidRDefault="001811BA" w:rsidP="00181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BA" w:rsidRPr="00BC7073" w:rsidRDefault="001811BA" w:rsidP="00181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13 Федерального закона от 2 мая 2006 года № 59-ФЗ «О порядке рассмотрения обращений граждан Российской Федерации» личный прием граждан в государственном органе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уществляется не только должностным, но и уполномоченным</w:t>
      </w: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- </w:t>
      </w: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отдела по организации работы с обращениями граждан Главного контрольного управления Губернатора и Правительства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амчатского края (далее – отдел). </w:t>
      </w: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</w:t>
      </w: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в Приемной граждан, расположенной в холле первого этажа здания Правительства Камчатского края.</w:t>
      </w:r>
    </w:p>
    <w:p w:rsidR="001811BA" w:rsidRPr="005D03CC" w:rsidRDefault="001811BA" w:rsidP="00181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таких приемов гражданам даются разъяснения по порядку рассмотрения обращений, компетенции государственных органов и органов местного самоуправления, доводится до сведения информация справочного характера, производится запись на прием к должностным лицам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2019 году специалистами отдела оформлено </w:t>
      </w:r>
      <w:r w:rsidRPr="001F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личного приема граждан.</w:t>
      </w:r>
    </w:p>
    <w:p w:rsidR="001811BA" w:rsidRDefault="001811BA" w:rsidP="00181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BA" w:rsidRDefault="001811BA" w:rsidP="00181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в рассматриваемом периоде обращений относится к жилищной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14,6%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Это, как правило, просьбы о содействии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улучшении жилищных условий, 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 ветхого и аварийного жилья, общежитий, предоставлении жилья по договорам социального найма гражданам, состоящим на учете в органе местного самоуправления. </w:t>
      </w:r>
    </w:p>
    <w:p w:rsidR="001811BA" w:rsidRDefault="001811BA" w:rsidP="00181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жалобами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коммунальных услуг ненадлежащего качества, состояние жилищно-коммунальной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работу управляющих компаний обратилось </w:t>
      </w:r>
      <w:r w:rsidRPr="007F3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8,1%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с размерами оплаты за жилищно-коммунальные услуги и порядком ее начисления не согласны </w:t>
      </w:r>
      <w:r w:rsidRPr="007F3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2,6%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обратившихся в 2019 году граждан.</w:t>
      </w:r>
    </w:p>
    <w:p w:rsidR="001811BA" w:rsidRDefault="001811BA" w:rsidP="00181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8,3%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обращений относятся к тематике «Социальная сфера». Вопросы указанной тематики содержат просьбы об оказании финансовой помощи, предоставлении мер социальной поддержки и различного рода помощи незащищенным слоям населения. Вопросы оказания бесплатной юридической помощи, социальной защиты инвалидов, многодетных семей, пенсионеров и иных категорий граждан также содержатся в данном тематическом блоке.</w:t>
      </w:r>
    </w:p>
    <w:p w:rsidR="001811BA" w:rsidRDefault="001811BA" w:rsidP="00181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Просьбы об оказании содействия в обеспечении благоустройства придомовых территорий, жалобы на состояние межквартальных и внутридомовых проездов, отсутствие уличного освещения, тротуаров звучали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6,5</w:t>
      </w:r>
      <w:r w:rsidRPr="00733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1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733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811BA" w:rsidRDefault="001811BA" w:rsidP="00181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обращений с жалобами на работу медицинских учреждений, качество предоставления медицинских услуг, ненадлежащую организацию оказания врачебной помощи населению, в том числе в муниципальных районах края, по-прежнему остается высокой – </w:t>
      </w:r>
      <w:r w:rsidRPr="00733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7,2%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поступивших обращений (в 2018 году 6,9%).</w:t>
      </w:r>
    </w:p>
    <w:p w:rsidR="001811BA" w:rsidRPr="005D03CC" w:rsidRDefault="001811BA" w:rsidP="00181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в 2019 году произошел всплеск обращений на тему охраны и использования водных биологических ресурсов, борьбы с браконьерством, гуманного отношения к объектам животного мира. Всего поступило 248 обращений по указанной тематике (это </w:t>
      </w:r>
      <w:r w:rsidRPr="00645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7,3%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количества). В частности, жители выражали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опасения по поводу увеличения численности медведей, связывали данный факт с деятельностью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рыбоперерабатывающих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предприятий.</w:t>
      </w:r>
    </w:p>
    <w:p w:rsidR="001811BA" w:rsidRDefault="001811BA" w:rsidP="00181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и иные данные о процентной доле вопросов, по которым отмечена повышенная активность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(более 1% от общего количества)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обратившихся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отчетном периоде, приведены в Д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</w:p>
    <w:p w:rsidR="001811BA" w:rsidRDefault="001811BA" w:rsidP="00181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BA" w:rsidRPr="00C056E8" w:rsidRDefault="001811BA" w:rsidP="001811BA">
      <w:pPr>
        <w:spacing w:after="0" w:line="240" w:lineRule="auto"/>
        <w:jc w:val="center"/>
        <w:rPr>
          <w:rFonts w:eastAsia="Times New Roman" w:cstheme="minorHAnsi"/>
          <w:bCs/>
          <w:i/>
          <w:sz w:val="24"/>
          <w:szCs w:val="24"/>
          <w:lang w:eastAsia="ru-RU"/>
        </w:rPr>
      </w:pPr>
      <w:r w:rsidRPr="00C056E8">
        <w:rPr>
          <w:rFonts w:eastAsia="Times New Roman" w:cstheme="minorHAnsi"/>
          <w:bCs/>
          <w:i/>
          <w:sz w:val="24"/>
          <w:szCs w:val="24"/>
          <w:lang w:eastAsia="ru-RU"/>
        </w:rPr>
        <w:t>Вопросы тематического классификатора, по которым отмечена повышенная активность граждан, обратившихся в 2019 году (более 1% от общей доли поступивших вопросов)</w:t>
      </w:r>
    </w:p>
    <w:p w:rsidR="001811BA" w:rsidRDefault="001811BA" w:rsidP="001811BA">
      <w:pPr>
        <w:spacing w:after="0" w:line="240" w:lineRule="auto"/>
        <w:jc w:val="center"/>
        <w:rPr>
          <w:rFonts w:ascii="Cambria" w:eastAsia="Times New Roman" w:hAnsi="Cambria" w:cs="Times New Roman"/>
          <w:bCs/>
          <w:i/>
          <w:sz w:val="24"/>
          <w:szCs w:val="24"/>
          <w:lang w:eastAsia="ru-RU"/>
        </w:rPr>
      </w:pPr>
    </w:p>
    <w:p w:rsidR="001811BA" w:rsidRPr="00C056E8" w:rsidRDefault="001811BA" w:rsidP="001811BA">
      <w:pPr>
        <w:spacing w:after="0" w:line="240" w:lineRule="auto"/>
        <w:jc w:val="right"/>
        <w:rPr>
          <w:rFonts w:eastAsia="Times New Roman" w:cstheme="minorHAnsi"/>
          <w:sz w:val="16"/>
          <w:szCs w:val="16"/>
          <w:lang w:eastAsia="ru-RU"/>
        </w:rPr>
      </w:pPr>
      <w:r>
        <w:rPr>
          <w:rFonts w:eastAsia="Times New Roman" w:cstheme="minorHAnsi"/>
          <w:sz w:val="16"/>
          <w:szCs w:val="16"/>
          <w:lang w:eastAsia="ru-RU"/>
        </w:rPr>
        <w:t>ДИАГРАММА</w:t>
      </w:r>
      <w:r w:rsidRPr="00C056E8">
        <w:rPr>
          <w:rFonts w:eastAsia="Times New Roman" w:cstheme="minorHAnsi"/>
          <w:sz w:val="16"/>
          <w:szCs w:val="16"/>
          <w:lang w:eastAsia="ru-RU"/>
        </w:rPr>
        <w:t xml:space="preserve"> 2</w:t>
      </w:r>
    </w:p>
    <w:p w:rsidR="001811BA" w:rsidRDefault="001811BA" w:rsidP="00181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3A8D31F" wp14:editId="1EB823EE">
            <wp:simplePos x="0" y="0"/>
            <wp:positionH relativeFrom="page">
              <wp:posOffset>66552</wp:posOffset>
            </wp:positionH>
            <wp:positionV relativeFrom="paragraph">
              <wp:posOffset>210659</wp:posOffset>
            </wp:positionV>
            <wp:extent cx="7380605" cy="5881370"/>
            <wp:effectExtent l="0" t="0" r="10795" b="508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1BA" w:rsidRDefault="001811BA" w:rsidP="00181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BA" w:rsidRDefault="001811BA" w:rsidP="00181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BA" w:rsidRPr="005D03CC" w:rsidRDefault="001811BA" w:rsidP="00181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ответах на подавляющее большинство рассмотренных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году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гражданам даны подробные разъяснения положений действующего краевого и федерального законодательства, рекомендации о способах защиты своих прав и законных интересов. </w:t>
      </w:r>
    </w:p>
    <w:p w:rsidR="001811BA" w:rsidRPr="005D03CC" w:rsidRDefault="001811BA" w:rsidP="00181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правовых оснований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рассмотрено с результатом «отказано».</w:t>
      </w:r>
    </w:p>
    <w:p w:rsidR="001811BA" w:rsidRPr="005D03CC" w:rsidRDefault="001811BA" w:rsidP="00181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Изложенные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обращениях факты нашли свое подтверждение в ходе рассмотрения, по ним проводятся (либо проведены) соответствующие мероприятия.</w:t>
      </w:r>
    </w:p>
    <w:p w:rsidR="001811BA" w:rsidRDefault="001811BA" w:rsidP="00181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219 обращений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положительно, действенные меры, необходимые для решения вопросов, приняты, изложенные просьбы удовлетворены.</w:t>
      </w:r>
    </w:p>
    <w:p w:rsidR="001811BA" w:rsidRDefault="001811BA" w:rsidP="00181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811BA" w:rsidRDefault="001811BA" w:rsidP="00181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28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Положительные примеры рассмотрения обращений граждан</w:t>
      </w:r>
    </w:p>
    <w:p w:rsidR="001811BA" w:rsidRDefault="001811BA" w:rsidP="00181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811BA" w:rsidRPr="00C45138" w:rsidRDefault="001811BA" w:rsidP="00181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5138">
        <w:rPr>
          <w:rFonts w:ascii="Times New Roman" w:eastAsia="Calibri" w:hAnsi="Times New Roman" w:cs="Times New Roman"/>
          <w:i/>
          <w:sz w:val="28"/>
          <w:szCs w:val="28"/>
        </w:rPr>
        <w:t xml:space="preserve">В ходе выездного приема в с. Эссо </w:t>
      </w:r>
      <w:proofErr w:type="spellStart"/>
      <w:r w:rsidRPr="00C45138">
        <w:rPr>
          <w:rFonts w:ascii="Times New Roman" w:eastAsia="Calibri" w:hAnsi="Times New Roman" w:cs="Times New Roman"/>
          <w:i/>
          <w:sz w:val="28"/>
          <w:szCs w:val="28"/>
        </w:rPr>
        <w:t>Быстринского</w:t>
      </w:r>
      <w:proofErr w:type="spellEnd"/>
      <w:r w:rsidRPr="00C45138">
        <w:rPr>
          <w:rFonts w:ascii="Times New Roman" w:eastAsia="Calibri" w:hAnsi="Times New Roman" w:cs="Times New Roman"/>
          <w:i/>
          <w:sz w:val="28"/>
          <w:szCs w:val="28"/>
        </w:rPr>
        <w:t xml:space="preserve"> муниципального района в феврале 2019 года к Губернатору Камчатского края обратилась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глава </w:t>
      </w:r>
      <w:r w:rsidRPr="00C45138">
        <w:rPr>
          <w:rFonts w:ascii="Times New Roman" w:eastAsia="Calibri" w:hAnsi="Times New Roman" w:cs="Times New Roman"/>
          <w:i/>
          <w:sz w:val="28"/>
          <w:szCs w:val="28"/>
        </w:rPr>
        <w:t>фермер</w:t>
      </w:r>
      <w:r>
        <w:rPr>
          <w:rFonts w:ascii="Times New Roman" w:eastAsia="Calibri" w:hAnsi="Times New Roman" w:cs="Times New Roman"/>
          <w:i/>
          <w:sz w:val="28"/>
          <w:szCs w:val="28"/>
        </w:rPr>
        <w:t>ского хозяйства</w:t>
      </w:r>
      <w:r w:rsidRPr="00C45138">
        <w:rPr>
          <w:rFonts w:ascii="Times New Roman" w:eastAsia="Calibri" w:hAnsi="Times New Roman" w:cs="Times New Roman"/>
          <w:i/>
          <w:sz w:val="28"/>
          <w:szCs w:val="28"/>
        </w:rPr>
        <w:t xml:space="preserve"> с просьбой об оказании содействия в получении государственной поддержки на развитие фермерского хозяйства. Ранее заявительница такую поддержку получала, но из-за несвоевременно оформленных документов в 2018 в субсидии было отказано. </w:t>
      </w:r>
    </w:p>
    <w:p w:rsidR="001811BA" w:rsidRPr="00C45138" w:rsidRDefault="001811BA" w:rsidP="00181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5138">
        <w:rPr>
          <w:rFonts w:ascii="Times New Roman" w:eastAsia="Calibri" w:hAnsi="Times New Roman" w:cs="Times New Roman"/>
          <w:i/>
          <w:sz w:val="28"/>
          <w:szCs w:val="28"/>
        </w:rPr>
        <w:t xml:space="preserve">По поручению Губернатора края специалисты Министерства сельского хозяйства, пищевой и перерабатывающей промышленности осуществили выезд в с. Эссо, встретились с заявительницей, оказали консультативную помощь в подготовке необходимых для получения субсидии документов. </w:t>
      </w:r>
    </w:p>
    <w:p w:rsidR="001811BA" w:rsidRDefault="001811BA" w:rsidP="00181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5138">
        <w:rPr>
          <w:rFonts w:ascii="Times New Roman" w:eastAsia="Calibri" w:hAnsi="Times New Roman" w:cs="Times New Roman"/>
          <w:i/>
          <w:sz w:val="28"/>
          <w:szCs w:val="28"/>
        </w:rPr>
        <w:t>По результатам проделанной работы главе фермерского хозяйства в рамках реализации мероприятий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 была выплачена субсидия на возмещение части затрат, связанных с содержанием крупного рогатого скота за 4 квартал 2018 года, в 2019 год</w:t>
      </w:r>
      <w:r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Pr="00C45138">
        <w:rPr>
          <w:rFonts w:ascii="Times New Roman" w:eastAsia="Calibri" w:hAnsi="Times New Roman" w:cs="Times New Roman"/>
          <w:i/>
          <w:sz w:val="28"/>
          <w:szCs w:val="28"/>
        </w:rPr>
        <w:t xml:space="preserve"> государственная поддержка была оказана в полном объеме. </w:t>
      </w:r>
    </w:p>
    <w:p w:rsidR="001811BA" w:rsidRDefault="001811BA" w:rsidP="00181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811BA" w:rsidRPr="009E6BD7" w:rsidRDefault="001811BA" w:rsidP="00181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6BD7">
        <w:rPr>
          <w:rFonts w:ascii="Times New Roman" w:eastAsia="Calibri" w:hAnsi="Times New Roman" w:cs="Times New Roman"/>
          <w:i/>
          <w:sz w:val="28"/>
          <w:szCs w:val="28"/>
        </w:rPr>
        <w:t xml:space="preserve">К исполняющей обязанности главы </w:t>
      </w:r>
      <w:proofErr w:type="spellStart"/>
      <w:r w:rsidRPr="009E6BD7">
        <w:rPr>
          <w:rFonts w:ascii="Times New Roman" w:eastAsia="Calibri" w:hAnsi="Times New Roman" w:cs="Times New Roman"/>
          <w:i/>
          <w:sz w:val="28"/>
          <w:szCs w:val="28"/>
        </w:rPr>
        <w:t>Паратунского</w:t>
      </w:r>
      <w:proofErr w:type="spellEnd"/>
      <w:r w:rsidRPr="009E6BD7">
        <w:rPr>
          <w:rFonts w:ascii="Times New Roman" w:eastAsia="Calibri" w:hAnsi="Times New Roman" w:cs="Times New Roman"/>
          <w:i/>
          <w:sz w:val="28"/>
          <w:szCs w:val="28"/>
        </w:rPr>
        <w:t xml:space="preserve"> сельского поселения обратился житель поселка Термальный инвалид-колясочник по вопросу предоставления жилого помещения. Гражданин проживал в квартире, которая находится на пятом этаже, помещение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было </w:t>
      </w:r>
      <w:r w:rsidRPr="009E6BD7">
        <w:rPr>
          <w:rFonts w:ascii="Times New Roman" w:eastAsia="Calibri" w:hAnsi="Times New Roman" w:cs="Times New Roman"/>
          <w:i/>
          <w:sz w:val="28"/>
          <w:szCs w:val="28"/>
        </w:rPr>
        <w:t>не приспособлено для инвалида, а производить его переоборудование или реконструкцию экономически нецелесообразно.</w:t>
      </w:r>
    </w:p>
    <w:p w:rsidR="001811BA" w:rsidRPr="009E6BD7" w:rsidRDefault="001811BA" w:rsidP="00181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6BD7">
        <w:rPr>
          <w:rFonts w:ascii="Times New Roman" w:eastAsia="Calibri" w:hAnsi="Times New Roman" w:cs="Times New Roman"/>
          <w:i/>
          <w:sz w:val="28"/>
          <w:szCs w:val="28"/>
        </w:rPr>
        <w:t xml:space="preserve">       Администрацией поселения гражданин признан нуждающимся в улучшении жилищных условий. Однако иного помещения, пригодного для проживания инвалида в жилищном фонде </w:t>
      </w:r>
      <w:r>
        <w:rPr>
          <w:rFonts w:ascii="Times New Roman" w:eastAsia="Calibri" w:hAnsi="Times New Roman" w:cs="Times New Roman"/>
          <w:i/>
          <w:sz w:val="28"/>
          <w:szCs w:val="28"/>
        </w:rPr>
        <w:t>поселка Термальный</w:t>
      </w:r>
      <w:r w:rsidRPr="009E6BD7">
        <w:rPr>
          <w:rFonts w:ascii="Times New Roman" w:eastAsia="Calibri" w:hAnsi="Times New Roman" w:cs="Times New Roman"/>
          <w:i/>
          <w:sz w:val="28"/>
          <w:szCs w:val="28"/>
        </w:rPr>
        <w:t xml:space="preserve"> не имелось.</w:t>
      </w:r>
    </w:p>
    <w:p w:rsidR="001811BA" w:rsidRPr="009E6BD7" w:rsidRDefault="001811BA" w:rsidP="00181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6BD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E6BD7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В связи с чем в интересах заявителя </w:t>
      </w:r>
      <w:proofErr w:type="spellStart"/>
      <w:r w:rsidRPr="009E6BD7">
        <w:rPr>
          <w:rFonts w:ascii="Times New Roman" w:eastAsia="Calibri" w:hAnsi="Times New Roman" w:cs="Times New Roman"/>
          <w:i/>
          <w:sz w:val="28"/>
          <w:szCs w:val="28"/>
        </w:rPr>
        <w:t>и.о</w:t>
      </w:r>
      <w:proofErr w:type="spellEnd"/>
      <w:r w:rsidRPr="009E6BD7">
        <w:rPr>
          <w:rFonts w:ascii="Times New Roman" w:eastAsia="Calibri" w:hAnsi="Times New Roman" w:cs="Times New Roman"/>
          <w:i/>
          <w:sz w:val="28"/>
          <w:szCs w:val="28"/>
        </w:rPr>
        <w:t xml:space="preserve">. главы обратилась к Губернатору Камчатского края. </w:t>
      </w:r>
    </w:p>
    <w:p w:rsidR="001811BA" w:rsidRPr="009E6BD7" w:rsidRDefault="001811BA" w:rsidP="00181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6BD7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По поручению Губернатора вопрос об улучшении жилищных условий инвалида рассматривался Министерством жилищно-коммунального хозяйства и энергетики, Министерством социального развития и труда, Администрацией </w:t>
      </w:r>
      <w:proofErr w:type="spellStart"/>
      <w:r w:rsidRPr="009E6BD7">
        <w:rPr>
          <w:rFonts w:ascii="Times New Roman" w:eastAsia="Calibri" w:hAnsi="Times New Roman" w:cs="Times New Roman"/>
          <w:i/>
          <w:sz w:val="28"/>
          <w:szCs w:val="28"/>
        </w:rPr>
        <w:t>Елизовского</w:t>
      </w:r>
      <w:proofErr w:type="spellEnd"/>
      <w:r w:rsidRPr="009E6BD7">
        <w:rPr>
          <w:rFonts w:ascii="Times New Roman" w:eastAsia="Calibri" w:hAnsi="Times New Roman" w:cs="Times New Roman"/>
          <w:i/>
          <w:sz w:val="28"/>
          <w:szCs w:val="28"/>
        </w:rPr>
        <w:t xml:space="preserve"> муниципального района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и администрацией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Паратунского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сельского поселения</w:t>
      </w:r>
      <w:r w:rsidRPr="009E6BD7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1811BA" w:rsidRPr="009E6BD7" w:rsidRDefault="001811BA" w:rsidP="00181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6BD7">
        <w:rPr>
          <w:rFonts w:ascii="Times New Roman" w:eastAsia="Calibri" w:hAnsi="Times New Roman" w:cs="Times New Roman"/>
          <w:i/>
          <w:sz w:val="28"/>
          <w:szCs w:val="28"/>
        </w:rPr>
        <w:tab/>
        <w:t>В ходе ра</w:t>
      </w:r>
      <w:r>
        <w:rPr>
          <w:rFonts w:ascii="Times New Roman" w:eastAsia="Calibri" w:hAnsi="Times New Roman" w:cs="Times New Roman"/>
          <w:i/>
          <w:sz w:val="28"/>
          <w:szCs w:val="28"/>
        </w:rPr>
        <w:t>ссмотрения обращения прорабатывалос</w:t>
      </w:r>
      <w:r w:rsidRPr="009E6BD7">
        <w:rPr>
          <w:rFonts w:ascii="Times New Roman" w:eastAsia="Calibri" w:hAnsi="Times New Roman" w:cs="Times New Roman"/>
          <w:i/>
          <w:sz w:val="28"/>
          <w:szCs w:val="28"/>
        </w:rPr>
        <w:t xml:space="preserve">ь несколько вариантов решения вопроса обеспечения инвалида жилым помещением с учетом состояния его здоровья. В результате проведенных рабочих встреч, личных встреч с заявителем, совместного обсуждения всех предлагаемых вариантов принято решение о предоставлении заявителю квартиры в </w:t>
      </w:r>
      <w:proofErr w:type="spellStart"/>
      <w:r w:rsidRPr="009E6BD7">
        <w:rPr>
          <w:rFonts w:ascii="Times New Roman" w:eastAsia="Calibri" w:hAnsi="Times New Roman" w:cs="Times New Roman"/>
          <w:i/>
          <w:sz w:val="28"/>
          <w:szCs w:val="28"/>
        </w:rPr>
        <w:t>Паратунском</w:t>
      </w:r>
      <w:proofErr w:type="spellEnd"/>
      <w:r w:rsidRPr="009E6BD7">
        <w:rPr>
          <w:rFonts w:ascii="Times New Roman" w:eastAsia="Calibri" w:hAnsi="Times New Roman" w:cs="Times New Roman"/>
          <w:i/>
          <w:sz w:val="28"/>
          <w:szCs w:val="28"/>
        </w:rPr>
        <w:t xml:space="preserve"> сельском поселении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на первом этаже многоквартирного дома</w:t>
      </w:r>
      <w:r w:rsidRPr="009E6BD7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1811BA" w:rsidRPr="009E6BD7" w:rsidRDefault="001811BA" w:rsidP="00181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6BD7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В рамках подпрограммы «Доступная среда в Камчатском крае» государственной программы «Социальная поддержка граждан в Камчатском крае» заявителю предоставлена социальная выплата на приобретение материалов и выполнение работ </w:t>
      </w:r>
      <w:r w:rsidRPr="009E6BD7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по обустройству </w:t>
      </w:r>
      <w:r>
        <w:rPr>
          <w:rFonts w:ascii="Times New Roman" w:eastAsia="Calibri" w:hAnsi="Times New Roman" w:cs="Times New Roman"/>
          <w:i/>
          <w:sz w:val="28"/>
          <w:szCs w:val="28"/>
        </w:rPr>
        <w:t>жилого помещения</w:t>
      </w:r>
      <w:r w:rsidRPr="009E6BD7">
        <w:rPr>
          <w:rFonts w:ascii="Times New Roman" w:eastAsia="Calibri" w:hAnsi="Times New Roman" w:cs="Times New Roman"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В настоящее время все работы по ремонту квартиры и ее оборудованию под нужды инвалида выполнены.</w:t>
      </w:r>
    </w:p>
    <w:p w:rsidR="001811BA" w:rsidRPr="009E6BD7" w:rsidRDefault="001811BA" w:rsidP="00181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6BD7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Кроме того, в целях приспособления общего имущества многоквартирного дома с учетом потребности инвалидов и обеспечения доступности </w:t>
      </w:r>
      <w:r>
        <w:rPr>
          <w:rFonts w:ascii="Times New Roman" w:eastAsia="Calibri" w:hAnsi="Times New Roman" w:cs="Times New Roman"/>
          <w:i/>
          <w:sz w:val="28"/>
          <w:szCs w:val="28"/>
        </w:rPr>
        <w:t>установлен</w:t>
      </w:r>
      <w:r w:rsidRPr="009E6BD7">
        <w:rPr>
          <w:rFonts w:ascii="Times New Roman" w:eastAsia="Calibri" w:hAnsi="Times New Roman" w:cs="Times New Roman"/>
          <w:i/>
          <w:sz w:val="28"/>
          <w:szCs w:val="28"/>
        </w:rPr>
        <w:t xml:space="preserve"> уличный пандус.</w:t>
      </w:r>
    </w:p>
    <w:p w:rsidR="001811BA" w:rsidRDefault="001811BA" w:rsidP="00181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1BA" w:rsidRDefault="001811BA" w:rsidP="00181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7973">
        <w:rPr>
          <w:rFonts w:ascii="Times New Roman" w:eastAsia="Calibri" w:hAnsi="Times New Roman" w:cs="Times New Roman"/>
          <w:i/>
          <w:sz w:val="28"/>
          <w:szCs w:val="28"/>
        </w:rPr>
        <w:t xml:space="preserve">В мае в Интернет приемную Правительства Камчатского края и к Президенту Российской Федерации обратилась учитель физкультуры Пионерской средней школы. Несколько лет автор обращения занимается подготовкой команды своей школы к участию во Всероссийских спортивных соревнованиях школьников. В 2019 году команда стала победителем регионального этапа «Президентских спортивных игр», и главной мотивацией для победивших ребят было участие во всероссийском этапе, который должен был проходить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на берегу Черного моря в </w:t>
      </w:r>
      <w:r w:rsidRPr="00D87973">
        <w:rPr>
          <w:rFonts w:ascii="Times New Roman" w:eastAsia="Calibri" w:hAnsi="Times New Roman" w:cs="Times New Roman"/>
          <w:i/>
          <w:sz w:val="28"/>
          <w:szCs w:val="28"/>
        </w:rPr>
        <w:t>детском центре «Орленок».</w:t>
      </w:r>
    </w:p>
    <w:p w:rsidR="001811BA" w:rsidRDefault="001811BA" w:rsidP="00181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Однако сразу после награждения команды тренеру и учителю физкультуры было сказано, что средств для направления детей на соревнования нет. Указанный факт и послужил поводом для обращений.</w:t>
      </w:r>
    </w:p>
    <w:p w:rsidR="001811BA" w:rsidRDefault="001811BA" w:rsidP="00181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По поручению Вице-губернатора Камчатского края – руководителя Аппарата Губернатора и Правительства Камчатского края Министерство образования и молодежной политики совместно с Министерством спорта изыскали возможность для направления детей в ВДЦ «Орленок». </w:t>
      </w:r>
    </w:p>
    <w:p w:rsidR="001811BA" w:rsidRDefault="001811BA" w:rsidP="00181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сентябре команда МБОУ «Пионерская средняя школа им. М.А.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Евсюкова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» показала очень хорошие результаты на всероссийском этапе «Президентских спортивных игр». В соревнованиях по плаванию были в первой двадцатке, в баскетболе девочки заняли 19 место, в городошном спорте – 5 место. А всего в соревнованиях приняли участие команды из 84 регионов.</w:t>
      </w:r>
    </w:p>
    <w:p w:rsidR="001811BA" w:rsidRDefault="001811BA" w:rsidP="00181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По словам учителя физкультуры, ребята остались в полном восторге от мероприятий и поездки в целом, многие из них впервые выехали за пределы полуострова и купались в теплом море.</w:t>
      </w:r>
    </w:p>
    <w:p w:rsidR="001811BA" w:rsidRDefault="001811BA" w:rsidP="00181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811BA" w:rsidRDefault="001811BA" w:rsidP="00181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К Председателю Правительства Камчатского края в ходе личного приема обратился гражданин, имеющий проблему медицинского характера – у заявителя глухота. Чтобы окончательно не потерять слух, ему необходимо пройти лечение за пределами Камчатского края. Гражданин подал самостоятельно документы в Министерство здравоохранения для оформления его направления на лечение, однако пакет документов оказался неполным, клиника в Санкт-Петербурге их не приняла.  </w:t>
      </w:r>
    </w:p>
    <w:p w:rsidR="001811BA" w:rsidRDefault="001811BA" w:rsidP="00181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Присутствующие на приеме специалисты Министерства здравоохранения пояснили гражданину, что в соответствии с Порядком направления граждан на лечение за пределы Камчатского края пакет медицинских документов оформляется поликлиникой по месту жительства гражданина на основании заключения врача-специалиста. </w:t>
      </w:r>
    </w:p>
    <w:p w:rsidR="001811BA" w:rsidRDefault="001811BA" w:rsidP="00181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Однако, учитывая отдаленность проживания заявителя (п.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Крутоберегово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Соболевского муниципального района), заместителем Председателя Правительства Камчатского края дано поручение Министерству здравоохранения совместно с Камчатской краевой больницей организовать оформление необходимого комплекта документов. </w:t>
      </w:r>
    </w:p>
    <w:p w:rsidR="001811BA" w:rsidRDefault="001811BA" w:rsidP="00181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Указанное поручение выполнено в полном объеме, заявителю назначена дата госпитализации.</w:t>
      </w:r>
    </w:p>
    <w:p w:rsidR="001811BA" w:rsidRDefault="001811BA" w:rsidP="00181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811BA" w:rsidRDefault="001811BA" w:rsidP="00181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К заместителю Председателя Правительства Камчатского края обратился житель Петропавловска-Камчатского с просьбой рассмотреть вопрос об организации автобусной остановки напротив поликлиники на улице Индустриальная. От лица всего «бывшего Ленинского района» города заявитель выражал благодарность за построенную поликлинику: светлую, просторную, без очередей. Вот только от автобусной остановки идти далеко - для пенсионеров, людей с заболеваниями добираться до поликлиники и обратно тяжело. </w:t>
      </w:r>
    </w:p>
    <w:p w:rsidR="001811BA" w:rsidRDefault="001811BA" w:rsidP="00181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 ходе приема были рассмотрены различные варианты организации остановки общественного транспорта вблизи городской поликлиники № 2, принято положительное решение. Мероприятия включены в проект подпрограммы «Комплексное благоустройство Петропавловск-Камчатского городского округа» на 2020 год и по заверениям руководителя Управления дорожного хозяйства, транспорта и благоустройства администрации Петропавловск-Камчатского городского округа работы будут выполнены в летне-осенний период текущего года. Данное поручение остается на контроле до полного исполнения.</w:t>
      </w:r>
    </w:p>
    <w:p w:rsidR="001811BA" w:rsidRDefault="001811BA" w:rsidP="00181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811BA" w:rsidRDefault="001811BA" w:rsidP="00181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811BA" w:rsidRDefault="001811BA" w:rsidP="00181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Правительство часто обращаются граждане, неравнодушие которых помогает решить не только личные вопросы, но и вопросы общественно значимые. </w:t>
      </w:r>
    </w:p>
    <w:p w:rsidR="001811BA" w:rsidRDefault="001811BA" w:rsidP="00181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Так, в Интернет приемную поступило обращение, в котором гражданин просил обратить внимание на высокие деревья, растущие вдоль линии электропередач. Заявитель был обеспокоен тем, что данное обстоятельство может вызвать короткое замыкание, а рядом школа и детский сад. </w:t>
      </w:r>
    </w:p>
    <w:p w:rsidR="001811BA" w:rsidRDefault="001811BA" w:rsidP="00181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По данному обращению Министерством жилищно-коммунального хозяйства и энергетики Камчатского края в адрес ПАО «Камчатскэнерго» направлено письмо рекомендательного характера о необходимости выполнить работы по расчистке просек. Оперативно отреагировав на данное письмо, эксплуатирующая сети организация очистила просеки, выполнила уборку и вывоз порубочных остатков.</w:t>
      </w:r>
    </w:p>
    <w:p w:rsidR="001811BA" w:rsidRDefault="001811BA" w:rsidP="00181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811BA" w:rsidRDefault="001811BA" w:rsidP="00181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Гражданка, проходящая мимо большого телевизионного табло в центре города, заметила, что у опор, на которых стоит видеоэкран, оторвана облицовка, о чем она незамедлительно сообщила в Правительство края. Данное обращение направлено в Учреждение, в чьем оперативном ведении находится устройство. В Учреждении уведомили, что ремонтные работы будут незамедлительно произведены после получения материалов для облицовки опор.</w:t>
      </w:r>
    </w:p>
    <w:p w:rsidR="001811BA" w:rsidRDefault="001811BA" w:rsidP="00181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811BA" w:rsidRDefault="001811BA" w:rsidP="00181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Осенью в районе СРВ был оборудован крытый рынок, жители района очень обрадовались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новострою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. Но каково же было удивление жителей, когда через несколько дней работы на близлежащих территориях начала образовываться стихийная свалка коробок, испорченного нереализованного товара и прочего мусора, оставленного предпринимателями, торгующими на рынке.</w:t>
      </w:r>
    </w:p>
    <w:p w:rsidR="001811BA" w:rsidRDefault="001811BA" w:rsidP="00181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Обращение с приложением фотографий стихийной свалки поступило в Интернет приемную в конце года, его автор просила наказать директора рынка и избавить жителей района от грязи и антисанитарии.</w:t>
      </w:r>
    </w:p>
    <w:p w:rsidR="001811BA" w:rsidRPr="00D87973" w:rsidRDefault="001811BA" w:rsidP="00181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По поручению заместителя председателя Правительства Камчатского края сотрудники Инспекции государственного экологического надзора провели проверку </w:t>
      </w: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изложенных в обращении фактов. После проведенных контрольных мероприятий работники ООО «Ярмарка на СРВ» ликвидировали свалку твердых бытовых отходов, а контейнерную площадку с мусорными баками перенесли в другое, менее людное место.</w:t>
      </w:r>
    </w:p>
    <w:p w:rsidR="00A91A5C" w:rsidRDefault="001811BA"/>
    <w:sectPr w:rsidR="00A91A5C" w:rsidSect="001811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BA"/>
    <w:rsid w:val="001811BA"/>
    <w:rsid w:val="008A4BD5"/>
    <w:rsid w:val="00E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BD73B-4F05-492E-B047-20E6F8AB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1B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81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hyperlink" Target="http://www.kamgov.ru" TargetMode="Externa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800" cap="all" baseline="0"/>
              <a:t>Диаграмма 1</a:t>
            </a:r>
          </a:p>
        </c:rich>
      </c:tx>
      <c:layout>
        <c:manualLayout>
          <c:xMode val="edge"/>
          <c:yMode val="edge"/>
          <c:x val="0.85661696658097686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2368074813270447E-3"/>
          <c:y val="1.7640330039223842E-2"/>
          <c:w val="0.83979267287077397"/>
          <c:h val="0.7470811461067365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обращений, поступивших из Администрации Президента 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56555269922879E-3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131105398457208E-3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169665809768638E-3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1131105398456826E-3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ound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год</c:v>
                </c:pt>
                <c:pt idx="1">
                  <c:v>2018 год</c:v>
                </c:pt>
                <c:pt idx="2">
                  <c:v>2017 год</c:v>
                </c:pt>
                <c:pt idx="3">
                  <c:v>2016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543</c:v>
                </c:pt>
                <c:pt idx="1">
                  <c:v>964</c:v>
                </c:pt>
                <c:pt idx="2">
                  <c:v>657</c:v>
                </c:pt>
                <c:pt idx="3">
                  <c:v>778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Общее количество поступивших обращений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56555269922879E-3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131105398457208E-3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1131105398457581E-3"/>
                  <c:y val="4.62962962962960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56555269922879E-3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ound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год</c:v>
                </c:pt>
                <c:pt idx="1">
                  <c:v>2018 год</c:v>
                </c:pt>
                <c:pt idx="2">
                  <c:v>2017 год</c:v>
                </c:pt>
                <c:pt idx="3">
                  <c:v>2016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2955</c:v>
                </c:pt>
                <c:pt idx="1">
                  <c:v>3093</c:v>
                </c:pt>
                <c:pt idx="2">
                  <c:v>3297</c:v>
                </c:pt>
                <c:pt idx="3">
                  <c:v>3493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год</c:v>
                </c:pt>
                <c:pt idx="1">
                  <c:v>2018 год</c:v>
                </c:pt>
                <c:pt idx="2">
                  <c:v>2017 год</c:v>
                </c:pt>
                <c:pt idx="3">
                  <c:v>2016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20896944"/>
        <c:axId val="684251424"/>
        <c:axId val="815422000"/>
      </c:bar3DChart>
      <c:catAx>
        <c:axId val="820896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CC33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4251424"/>
        <c:crosses val="autoZero"/>
        <c:auto val="1"/>
        <c:lblAlgn val="ctr"/>
        <c:lblOffset val="100"/>
        <c:noMultiLvlLbl val="0"/>
      </c:catAx>
      <c:valAx>
        <c:axId val="68425142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820896944"/>
        <c:crosses val="autoZero"/>
        <c:crossBetween val="between"/>
      </c:valAx>
      <c:serAx>
        <c:axId val="815422000"/>
        <c:scaling>
          <c:orientation val="minMax"/>
        </c:scaling>
        <c:delete val="1"/>
        <c:axPos val="b"/>
        <c:majorTickMark val="out"/>
        <c:minorTickMark val="none"/>
        <c:tickLblPos val="nextTo"/>
        <c:crossAx val="684251424"/>
        <c:crosses val="autoZero"/>
      </c:ser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9793146165212638"/>
          <c:y val="0.83890638670166229"/>
          <c:w val="0.62058935692164441"/>
          <c:h val="0.133100438384120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4365856368262606"/>
          <c:y val="0.14573037452767421"/>
          <c:w val="0.55713366988130497"/>
          <c:h val="0.769971251633713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effectLst>
              <a:glow rad="63500">
                <a:schemeClr val="accent1">
                  <a:alpha val="40000"/>
                </a:schemeClr>
              </a:glow>
              <a:outerShdw blurRad="50800" dist="50800" dir="5400000" algn="ctr" rotWithShape="0">
                <a:srgbClr val="000000">
                  <a:alpha val="77000"/>
                </a:srgbClr>
              </a:outerShdw>
              <a:softEdge rad="12700"/>
            </a:effectLst>
            <a:scene3d>
              <a:camera prst="orthographicFront"/>
              <a:lightRig rig="balanced" dir="t"/>
            </a:scene3d>
            <a:sp3d prstMaterial="dkEdge">
              <a:bevelT w="222250" prst="riblet"/>
              <a:bevelB prst="relaxedInset"/>
            </a:sp3d>
          </c:spPr>
          <c:explosion val="11"/>
          <c:dLbls>
            <c:dLbl>
              <c:idx val="0"/>
              <c:layout>
                <c:manualLayout>
                  <c:x val="0.1091311620117863"/>
                  <c:y val="4.2107451155088016E-2"/>
                </c:manualLayout>
              </c:layout>
              <c:tx>
                <c:rich>
                  <a:bodyPr/>
                  <a:lstStyle/>
                  <a:p>
                    <a:pPr marL="0" indent="0">
                      <a:buNone/>
                      <a:defRPr sz="1000" baseline="0"/>
                    </a:pPr>
                    <a:r>
                      <a:rPr lang="ru-RU" sz="1000" i="1" baseline="0" dirty="0" smtClean="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Социально-экономическое развитие региона. Деятельность органов исполнительной власти субъекта </a:t>
                    </a:r>
                    <a:r>
                      <a:rPr lang="ru-RU" sz="1000" i="1" baseline="0" dirty="0">
                        <a:solidFill>
                          <a:schemeClr val="accent1"/>
                        </a:solidFill>
                      </a:rPr>
                      <a:t>; </a:t>
                    </a:r>
                    <a:endParaRPr lang="ru-RU" sz="1000" i="1" baseline="0" dirty="0" smtClean="0">
                      <a:solidFill>
                        <a:schemeClr val="accent1"/>
                      </a:solidFill>
                    </a:endParaRPr>
                  </a:p>
                  <a:p>
                    <a:pPr marL="0" indent="0">
                      <a:buNone/>
                      <a:defRPr sz="1000" baseline="0"/>
                    </a:pPr>
                    <a:r>
                      <a:rPr lang="ru-RU" sz="1000" baseline="0" dirty="0" smtClean="0"/>
                      <a:t>3,5 %</a:t>
                    </a:r>
                    <a:endParaRPr lang="ru-RU" sz="1000" baseline="0" dirty="0"/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952223428838151"/>
                      <c:h val="0.19229210201024588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5.7666546306163247E-2"/>
                  <c:y val="0.16126990820166046"/>
                </c:manualLayout>
              </c:layout>
              <c:tx>
                <c:rich>
                  <a:bodyPr/>
                  <a:lstStyle/>
                  <a:p>
                    <a:r>
                      <a:rPr lang="ru-RU" i="1" dirty="0" smtClean="0"/>
                      <a:t> </a:t>
                    </a:r>
                    <a:r>
                      <a:rPr lang="ru-RU" sz="1000" i="1" dirty="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Социальное обеспечение, материальная помощь многодетным, пенсионерам и малообеспеченным слоям населения</a:t>
                    </a:r>
                    <a:r>
                      <a:rPr lang="ru-RU" sz="1000" i="1" dirty="0">
                        <a:solidFill>
                          <a:schemeClr val="accent1"/>
                        </a:solidFill>
                      </a:rPr>
                      <a:t>; </a:t>
                    </a:r>
                  </a:p>
                  <a:p>
                    <a:r>
                      <a:rPr lang="ru-RU" sz="1000" i="0" dirty="0" smtClean="0">
                        <a:solidFill>
                          <a:sysClr val="windowText" lastClr="000000"/>
                        </a:solidFill>
                      </a:rPr>
                      <a:t>8,3</a:t>
                    </a:r>
                    <a:r>
                      <a:rPr lang="ru-RU" sz="1000" i="0" dirty="0" smtClean="0"/>
                      <a:t>%</a:t>
                    </a:r>
                    <a:endParaRPr lang="ru-RU" sz="1000" i="0" dirty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486535317904155E-2"/>
                  <c:y val="8.3808364377687433E-2"/>
                </c:manualLayout>
              </c:layout>
              <c:tx>
                <c:rich>
                  <a:bodyPr/>
                  <a:lstStyle/>
                  <a:p>
                    <a:r>
                      <a:rPr lang="ru-RU" dirty="0" smtClean="0">
                        <a:solidFill>
                          <a:schemeClr val="accent1"/>
                        </a:solidFill>
                      </a:rPr>
                      <a:t> </a:t>
                    </a:r>
                    <a:r>
                      <a:rPr lang="ru-RU" sz="1000" i="1" dirty="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Благоустройство городов и поселков. Обустройство придомовых территорий</a:t>
                    </a:r>
                    <a:r>
                      <a:rPr lang="ru-RU" sz="1000" i="1" dirty="0">
                        <a:solidFill>
                          <a:schemeClr val="accent1"/>
                        </a:solidFill>
                      </a:rPr>
                      <a:t>; </a:t>
                    </a:r>
                    <a:endParaRPr lang="ru-RU" sz="1000" i="1" dirty="0" smtClean="0">
                      <a:solidFill>
                        <a:schemeClr val="accent1"/>
                      </a:solidFill>
                    </a:endParaRPr>
                  </a:p>
                  <a:p>
                    <a:r>
                      <a:rPr lang="ru-RU" sz="1000" baseline="0" dirty="0" smtClean="0"/>
                      <a:t>6,4</a:t>
                    </a:r>
                    <a:r>
                      <a:rPr lang="ru-RU" sz="1000" dirty="0" smtClean="0"/>
                      <a:t>%</a:t>
                    </a:r>
                    <a:endParaRPr lang="ru-RU" sz="1000" dirty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2730128492176454"/>
                  <c:y val="8.9583549411106592E-2"/>
                </c:manualLayout>
              </c:layout>
              <c:tx>
                <c:rich>
                  <a:bodyPr/>
                  <a:lstStyle/>
                  <a:p>
                    <a:r>
                      <a:rPr lang="ru-RU" sz="1000" i="1" dirty="0" smtClean="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Работа медицинских учреждений. Лечение, оказание медицинской помощи</a:t>
                    </a:r>
                    <a:r>
                      <a:rPr lang="ru-RU" i="1" dirty="0">
                        <a:solidFill>
                          <a:schemeClr val="accent1"/>
                        </a:solidFill>
                      </a:rPr>
                      <a:t>; </a:t>
                    </a:r>
                    <a:endParaRPr lang="ru-RU" i="1" dirty="0" smtClean="0">
                      <a:solidFill>
                        <a:schemeClr val="accent1"/>
                      </a:solidFill>
                    </a:endParaRPr>
                  </a:p>
                  <a:p>
                    <a:r>
                      <a:rPr lang="ru-RU" sz="1000" i="1" baseline="0" dirty="0" smtClean="0">
                        <a:solidFill>
                          <a:sysClr val="windowText" lastClr="000000"/>
                        </a:solidFill>
                      </a:rPr>
                      <a:t>7,2 </a:t>
                    </a:r>
                    <a:r>
                      <a:rPr lang="ru-RU" sz="1000" dirty="0" smtClean="0">
                        <a:solidFill>
                          <a:sysClr val="windowText" lastClr="000000"/>
                        </a:solidFill>
                      </a:rPr>
                      <a:t>%</a:t>
                    </a:r>
                    <a:endParaRPr lang="ru-RU" sz="1000" dirty="0">
                      <a:solidFill>
                        <a:sysClr val="windowText" lastClr="000000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229588224813547"/>
                      <c:h val="0.1534795464322088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4.7195792214865889E-2"/>
                  <c:y val="-1.0426992350423339E-3"/>
                </c:manualLayout>
              </c:layout>
              <c:tx>
                <c:rich>
                  <a:bodyPr/>
                  <a:lstStyle/>
                  <a:p>
                    <a:r>
                      <a:rPr lang="ru-RU" sz="1000" i="1" dirty="0" smtClean="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Переселение </a:t>
                    </a:r>
                    <a:r>
                      <a:rPr lang="ru-RU" sz="1000" i="1" dirty="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из подвалов, бараков, общежитий, аварийного и ветхого жилья. Улучшение жилищных условий</a:t>
                    </a:r>
                    <a:r>
                      <a:rPr lang="ru-RU" sz="1000" i="1" dirty="0">
                        <a:solidFill>
                          <a:schemeClr val="accent1"/>
                        </a:solidFill>
                      </a:rPr>
                      <a:t>; </a:t>
                    </a:r>
                    <a:endParaRPr lang="ru-RU" sz="1000" i="1" dirty="0" smtClean="0">
                      <a:solidFill>
                        <a:schemeClr val="accent1"/>
                      </a:solidFill>
                    </a:endParaRPr>
                  </a:p>
                  <a:p>
                    <a:r>
                      <a:rPr lang="ru-RU" sz="1000" dirty="0" smtClean="0"/>
                      <a:t>14,6%</a:t>
                    </a:r>
                    <a:endParaRPr lang="ru-RU" sz="1000" dirty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684208814860027"/>
                      <c:h val="0.1419679428432491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4.3408772045110122E-2"/>
                  <c:y val="4.3462917653539906E-2"/>
                </c:manualLayout>
              </c:layout>
              <c:tx>
                <c:rich>
                  <a:bodyPr/>
                  <a:lstStyle/>
                  <a:p>
                    <a:r>
                      <a:rPr lang="ru-RU" sz="1000" i="1" dirty="0" smtClean="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Оплата </a:t>
                    </a:r>
                    <a:r>
                      <a:rPr lang="ru-RU" sz="1000" i="1" dirty="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жилищно-коммунальных услуг. Тарифы и льготы</a:t>
                    </a:r>
                    <a:r>
                      <a:rPr lang="ru-RU" sz="1000" i="1" dirty="0" smtClean="0">
                        <a:solidFill>
                          <a:schemeClr val="accent1"/>
                        </a:solidFill>
                      </a:rPr>
                      <a:t>;</a:t>
                    </a:r>
                  </a:p>
                  <a:p>
                    <a:r>
                      <a:rPr lang="ru-RU" sz="1000" dirty="0" smtClean="0"/>
                      <a:t> 2,6%</a:t>
                    </a:r>
                    <a:endParaRPr lang="ru-RU" sz="1000" dirty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954923749475823"/>
                      <c:h val="0.15219175124163245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2.1419653266906979E-3"/>
                  <c:y val="1.1552155365161519E-2"/>
                </c:manualLayout>
              </c:layout>
              <c:tx>
                <c:rich>
                  <a:bodyPr/>
                  <a:lstStyle/>
                  <a:p>
                    <a:r>
                      <a:rPr lang="ru-RU" sz="1000" i="1" dirty="0" smtClean="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Охрана и использование объектов животного мира, в том числе ВБР. Гуманное отношение к животным</a:t>
                    </a:r>
                    <a:r>
                      <a:rPr lang="ru-RU" sz="1000" i="1" dirty="0">
                        <a:solidFill>
                          <a:schemeClr val="accent1"/>
                        </a:solidFill>
                      </a:rPr>
                      <a:t>; </a:t>
                    </a:r>
                    <a:endParaRPr lang="ru-RU" sz="1000" i="1" dirty="0" smtClean="0">
                      <a:solidFill>
                        <a:schemeClr val="accent1"/>
                      </a:solidFill>
                    </a:endParaRPr>
                  </a:p>
                  <a:p>
                    <a:r>
                      <a:rPr lang="ru-RU" sz="1000" baseline="0" dirty="0" smtClean="0"/>
                      <a:t>7,3 </a:t>
                    </a:r>
                    <a:r>
                      <a:rPr lang="ru-RU" sz="1000" dirty="0" smtClean="0"/>
                      <a:t>%</a:t>
                    </a:r>
                    <a:endParaRPr lang="ru-RU" sz="1000" dirty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494715541612105"/>
                      <c:h val="0.16892679766789026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-8.4191404363192446E-2"/>
                  <c:y val="0.11318366299008564"/>
                </c:manualLayout>
              </c:layout>
              <c:tx>
                <c:rich>
                  <a:bodyPr/>
                  <a:lstStyle/>
                  <a:p>
                    <a:r>
                      <a:rPr lang="ru-RU" sz="1000" i="1" dirty="0" smtClean="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Предоставление </a:t>
                    </a:r>
                    <a:r>
                      <a:rPr lang="ru-RU" sz="1000" i="1" dirty="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коммунальных </a:t>
                    </a:r>
                    <a:r>
                      <a:rPr lang="ru-RU" sz="1000" i="1" dirty="0" smtClean="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услуг </a:t>
                    </a:r>
                  </a:p>
                  <a:p>
                    <a:r>
                      <a:rPr lang="ru-RU" sz="1000" i="1" dirty="0" smtClean="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 </a:t>
                    </a:r>
                    <a:r>
                      <a:rPr lang="ru-RU" sz="1000" i="1" dirty="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ненадлежащего качества. Работа управляющих компаний</a:t>
                    </a:r>
                    <a:r>
                      <a:rPr lang="ru-RU" sz="1000" i="1" dirty="0">
                        <a:solidFill>
                          <a:schemeClr val="accent1"/>
                        </a:solidFill>
                      </a:rPr>
                      <a:t>; </a:t>
                    </a:r>
                    <a:endParaRPr lang="ru-RU" sz="1000" i="1" dirty="0" smtClean="0">
                      <a:solidFill>
                        <a:schemeClr val="accent1"/>
                      </a:solidFill>
                    </a:endParaRPr>
                  </a:p>
                  <a:p>
                    <a:r>
                      <a:rPr lang="ru-RU" sz="1000" dirty="0" smtClean="0"/>
                      <a:t>8,1%</a:t>
                    </a:r>
                    <a:endParaRPr lang="ru-RU" sz="1000" dirty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957577325978016"/>
                      <c:h val="0.19655590449164057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-0.16611009531061477"/>
                  <c:y val="3.1781710723861956E-3"/>
                </c:manualLayout>
              </c:layout>
              <c:tx>
                <c:rich>
                  <a:bodyPr/>
                  <a:lstStyle/>
                  <a:p>
                    <a:fld id="{D15EC420-C247-461B-AD2F-928496B3ABE4}" type="CATEGORYNAME">
                      <a:rPr lang="ru-RU" i="1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</a:p>
                  <a:p>
                    <a:fld id="{8CE32319-8C37-427D-B992-FDB5F2946449}" type="VALUE">
                      <a:rPr lang="ru-RU" baseline="0"/>
                      <a:pPr/>
                      <a:t>[ЗНАЧЕНИЕ]</a:t>
                    </a:fld>
                    <a:r>
                      <a:rPr lang="ru-RU" baseline="0"/>
                      <a:t> 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9"/>
              <c:layout>
                <c:manualLayout>
                  <c:x val="-8.1913745553379436E-2"/>
                  <c:y val="-1.42261071825102E-2"/>
                </c:manualLayout>
              </c:layout>
              <c:tx>
                <c:rich>
                  <a:bodyPr/>
                  <a:lstStyle/>
                  <a:p>
                    <a:fld id="{2AAD4C59-0A71-4B7B-8F37-C9AC7DC56D73}" type="CATEGORYNAME">
                      <a:rPr lang="ru-RU" sz="1000" i="1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pPr/>
                      <a:t>[ИМЯ КАТЕГОРИИ]</a:t>
                    </a:fld>
                    <a:r>
                      <a:rPr lang="ru-RU" sz="1000" i="1" baseline="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; </a:t>
                    </a:r>
                  </a:p>
                  <a:p>
                    <a:fld id="{F01FD5E9-C4BD-49F9-BD1A-510E9BEEBCC0}" type="VALUE">
                      <a:rPr lang="ru-RU" sz="1000" i="0" baseline="0">
                        <a:solidFill>
                          <a:sysClr val="windowText" lastClr="000000"/>
                        </a:solidFill>
                      </a:rPr>
                      <a:pPr/>
                      <a:t>[ЗНАЧЕНИЕ]</a:t>
                    </a:fld>
                    <a:r>
                      <a:rPr lang="ru-RU" sz="1000" i="0" baseline="0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0"/>
              <c:layout>
                <c:manualLayout>
                  <c:x val="1.413630725394463E-2"/>
                  <c:y val="-2.9271241224408599E-2"/>
                </c:manualLayout>
              </c:layout>
              <c:tx>
                <c:rich>
                  <a:bodyPr/>
                  <a:lstStyle/>
                  <a:p>
                    <a:fld id="{AA406290-79A6-43C4-9ECF-E8C537F0288D}" type="CATEGORYNAME">
                      <a:rPr lang="ru-RU" i="1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pPr/>
                      <a:t>[ИМЯ КАТЕГОРИИ]</a:t>
                    </a:fld>
                    <a:r>
                      <a:rPr lang="ru-RU" baseline="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; </a:t>
                    </a:r>
                  </a:p>
                  <a:p>
                    <a:fld id="{8166FC8D-E64D-439B-82D2-575C4E97FFD5}" type="VALUE">
                      <a:rPr lang="ru-RU" baseline="0">
                        <a:solidFill>
                          <a:sysClr val="windowText" lastClr="000000"/>
                        </a:solidFill>
                      </a:rPr>
                      <a:pPr/>
                      <a:t>[ЗНАЧЕНИЕ]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1. Социально-экономическое развитие региона, деятельность органов исполнительной власти субъекта</c:v>
                </c:pt>
                <c:pt idx="1">
                  <c:v>2. Социальное обеспечение, материальная помощь многодетный, пенсионерам и малообеспеченным слоям населения</c:v>
                </c:pt>
                <c:pt idx="2">
                  <c:v>3. Благоустройство городов и поселков. Обустройство придомовых территорий</c:v>
                </c:pt>
                <c:pt idx="3">
                  <c:v>4. Работа медицинских учреждений. Лечение и оказание медицинской помощи</c:v>
                </c:pt>
                <c:pt idx="4">
                  <c:v>5. Переселение из подвалов, бараков, общежитий, аварийного и ветхого жилья. Улучшение жилищных условий</c:v>
                </c:pt>
                <c:pt idx="5">
                  <c:v>6. Оплата жилищно-коммунальных услуг. Тарифы и льготы</c:v>
                </c:pt>
                <c:pt idx="6">
                  <c:v>7. Охрана и использование объектов животного мира, в том числе ВБР. Гуманное отношение к животным</c:v>
                </c:pt>
                <c:pt idx="7">
                  <c:v>8. Предоставление коммунальных услуг ненадлежащего качества</c:v>
                </c:pt>
                <c:pt idx="8">
                  <c:v>Транспорное обслуживание население, дорожное хозяйство</c:v>
                </c:pt>
                <c:pt idx="9">
                  <c:v>Трудовые отношения, занятость наседения, выплата заработной платы</c:v>
                </c:pt>
                <c:pt idx="10">
                  <c:v>Условия развития и ведения предпринимательской деятельности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2.4</c:v>
                </c:pt>
                <c:pt idx="1">
                  <c:v>8.3000000000000007</c:v>
                </c:pt>
                <c:pt idx="2">
                  <c:v>6.4</c:v>
                </c:pt>
                <c:pt idx="3">
                  <c:v>7.2</c:v>
                </c:pt>
                <c:pt idx="4">
                  <c:v>14.6</c:v>
                </c:pt>
                <c:pt idx="5">
                  <c:v>2.6</c:v>
                </c:pt>
                <c:pt idx="6">
                  <c:v>7.3</c:v>
                </c:pt>
                <c:pt idx="7">
                  <c:v>8.1</c:v>
                </c:pt>
                <c:pt idx="8">
                  <c:v>3.1</c:v>
                </c:pt>
                <c:pt idx="9">
                  <c:v>1.8</c:v>
                </c:pt>
                <c:pt idx="10">
                  <c:v>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3"/>
      </c:pieChart>
      <c:spPr>
        <a:effectLst>
          <a:glow rad="63500">
            <a:srgbClr val="C00000">
              <a:alpha val="40000"/>
            </a:srgbClr>
          </a:glow>
        </a:effectLst>
        <a:scene3d>
          <a:camera prst="orthographicFront"/>
          <a:lightRig rig="threePt" dir="t"/>
        </a:scene3d>
        <a:sp3d/>
      </c:spPr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2450</Words>
  <Characters>13966</Characters>
  <Application>Microsoft Office Word</Application>
  <DocSecurity>0</DocSecurity>
  <Lines>116</Lines>
  <Paragraphs>32</Paragraphs>
  <ScaleCrop>false</ScaleCrop>
  <Company/>
  <LinksUpToDate>false</LinksUpToDate>
  <CharactersWithSpaces>16384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2020-05-07T03:23:00Z</dcterms:created>
  <dcterms:modified xsi:type="dcterms:W3CDTF">2020-05-07T03:28:00Z</dcterms:modified>
</cp:coreProperties>
</file>