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CC" w:rsidRPr="005D03CC" w:rsidRDefault="005D03CC" w:rsidP="005D0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Статистический обзор обращений граждан, поступивших в первом полугодии 2018 года на имя Губернатора Камчатского края, Первого вице-губернатора Камчатского края, Вице-губернатора Камчатского края, заместителей Председателя Правительства Камчатского края</w:t>
      </w:r>
    </w:p>
    <w:p w:rsidR="005D03CC" w:rsidRPr="005D03CC" w:rsidRDefault="005D03CC" w:rsidP="005D0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0A9E376" wp14:editId="4088136A">
            <wp:simplePos x="0" y="0"/>
            <wp:positionH relativeFrom="margin">
              <wp:align>right</wp:align>
            </wp:positionH>
            <wp:positionV relativeFrom="paragraph">
              <wp:posOffset>1177671</wp:posOffset>
            </wp:positionV>
            <wp:extent cx="6642100" cy="2088515"/>
            <wp:effectExtent l="0" t="0" r="6350" b="698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2018 года поступило </w:t>
      </w:r>
      <w:r w:rsidRPr="005D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1656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граждан. По сравнению с аналогичным периодом прошлого года количество обращений выросло на 19 % (1394- в 2017 году), увеличение произошло за счет роста количества обращений на имя Президента Российской Федерации: 332 – в 1 полугодии 2017 года и 686 - в 1 полугодии 2018 года. 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33 % от общего количества обращений имеют простую письменную форму, и поступили либо по почте, либо переданы заявителями лично в Приемную граждан. Необходимо отметить, что по сравнению с аналогичным периодом прошлого года увеличилось количество обращений, поступивших в электронном виде (57% от общего количества поступивших обращений в 1 полугодии 2018 года и 40% - в 1 полугодии 2017 года).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принято 9 телеграмм и 10 обращений поступило посредством факсимильной связи.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6 % - устные обращения, принятые в ходе личных приемов граждан - это вдвое меньше, чем за аналогичный период прошлого года. 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полугодии 2018 года на личном приеме к Губернатору Камчатского края, Первому вице-губернатору Камчатского края и заместителям Председателя Правительства Камчатского края обратилось </w:t>
      </w:r>
      <w:r w:rsidRPr="005D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Pr="005D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(20 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ходе выездных приемов), за аналогичный период 2017 года в ходе личных приемов принято </w:t>
      </w:r>
      <w:r w:rsidRPr="005D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159 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из них </w:t>
      </w:r>
      <w:r w:rsidRPr="005D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принято в рабочих поездках в муниципальные районы края. 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двое жителей Камчатского края принято должностными лицами Администрации Президента Российской Федерации в режиме видео-конференц-связи. По поручению Губернатора Камчатского края в указанных приемах принимали 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участие заместители Председателя правительства Камчатского края </w:t>
      </w:r>
      <w:proofErr w:type="spellStart"/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Зубарь</w:t>
      </w:r>
      <w:proofErr w:type="spellEnd"/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 и Смирнов Т.Ю. </w:t>
      </w:r>
    </w:p>
    <w:p w:rsidR="005D03CC" w:rsidRPr="005D03CC" w:rsidRDefault="005D03CC" w:rsidP="005D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 Федерального закона от 2 мая 2006 года № 59-ФЗ «О порядке рассмотрения обращений граждан Российской Федерации» личный прием граждан в государственном органе осуществляется не только должностным, но и уполномоченным лицом - специалистами отдела по организации работы с обращениями граждан Главного контрольного управления Губернатора и Правительства Камчатского края (далее – отдел). Прием ведется ежедневно в Приемной граждан, расположенной в холле первого этажа здания Правительства Камчатского края.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таких приемов гражданам даются разъяснения по порядку рассмотрения обращений, компетенции государственных органов и органов местного самоуправления, доводится до сведения информация справочного характера, производится запись на прием к должностным лицам.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тематика поступивших в рассматриваемом периоде обращений по-прежнему относится к жилищной сфере - </w:t>
      </w:r>
      <w:r w:rsidRPr="005D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500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(27 % от общего количества). Это, как правило, просьбы о содействии в улучшении жилищных условий и переселении из ветхого и аварийного жилья (</w:t>
      </w:r>
      <w:r w:rsidRPr="005D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246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или 14 % от общего количества). 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жалобами на предоставление коммунальных услуг ненадлежащего качества, состояние жилищно-коммунальной сферы и работу управляющих компаний обратились</w:t>
      </w:r>
      <w:r w:rsidRPr="005D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173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(10 %). 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человек (3 %) не согласны с размерами платы за услуги ЖКХ. </w:t>
      </w:r>
    </w:p>
    <w:p w:rsid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и иные данные о процентной доле вопросов, по которым отмечена повышенная активность граждан, обратившихся в отчетном периоде, приведены в диаграмме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ниже. 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обращений, поступивших в первом полугодии 2018 года и в аналогичном периоде прошлого года, показывает, что процентная доля вопросов жилищно-коммунальной сферы остается неизменно высокой (около 30 %), то есть каждое третье обращение содержит вопросы данной тематики. 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ответах на подавляющее большинство рассмотренных в первом полугодии 2018 года обращений гражданам даны подробные разъяснения положений действующего краевого и федерального законодательства, рекомендации о способах защиты своих прав и законных интересов. 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правовых оснований 17 обращений рассмотрено с результатом «отказано».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Изложенные в 107 обращениях факты нашли свое подтверждение в ходе рассмотрения, по ним проводятся (либо проведены) соответствующие мероприятия.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263 обращения рассмотрено положительно, действенные меры, необходимые для решения вопросов, приняты, изложенные просьбы удовлетворены.</w:t>
      </w:r>
    </w:p>
    <w:p w:rsidR="005D03CC" w:rsidRPr="005D03CC" w:rsidRDefault="005D03CC" w:rsidP="005D0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 w:rsidRPr="005D03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Примеры рассмотрения обращений с положительным результатом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интернет приемную официального сайта исполнительных органов государственной власти Камчатского края (далее – интернет приемная) обратились жители села </w:t>
      </w:r>
      <w:proofErr w:type="spellStart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Ковран</w:t>
      </w:r>
      <w:proofErr w:type="spellEnd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Тигильского</w:t>
      </w:r>
      <w:proofErr w:type="spellEnd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муниципального района с просьбой оказать содействие в организации помещения для досуговых и спортивных мероприятий. У взрослого населения отсутствует возможность регулярно заниматься физической культурой и спортом, так как в селе нет специально предназначенных для этого помещений. 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рассмотрении данного обращения по поручению Главы </w:t>
      </w:r>
      <w:proofErr w:type="spellStart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Тигильского</w:t>
      </w:r>
      <w:proofErr w:type="spellEnd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муниципального района управлением образования достигнута договоренность с руководством муниципального бюджетного общеобразовательного учреждения «</w:t>
      </w:r>
      <w:proofErr w:type="spellStart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Ковранская</w:t>
      </w:r>
      <w:proofErr w:type="spellEnd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средняя школа» о предоставлении жителям села спортивного зала школы для занятий спортом четыре раза в неделю с 17 до 18 часов при условии наличия медицинской справки и соблюдения режима уборки помещений зала. 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Кроме того, администрация района планирует начать работу по разработке проектной документации на строительство физкультурно-оздоровительного комплекса в селе </w:t>
      </w:r>
      <w:proofErr w:type="spellStart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Ковран</w:t>
      </w:r>
      <w:proofErr w:type="spellEnd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Губернатору Камчатского края обратились жильцы дома по улице Павлова в Петропавловске-Камчатском с просьбой принять меры в отношении соседки, которая содержит домашних животных в ненадлежащих условиях. Неоднократно соседи наблюдали, как гражданка выводит гулять собак в критическом состоянии, истощенных и больных, одни животные погибают, она заводит новых, не кормит и не ухаживает за ними. 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поручению заместителя Председателя Правительства Камчатского края В.Н. Карпенко обращение рассмотрено в Агентстве по ветеринарии Камчатского края, в результате три собаки были доставлены волонтерами-общественниками в ветеринарную клинику «</w:t>
      </w:r>
      <w:proofErr w:type="spellStart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Багира</w:t>
      </w:r>
      <w:proofErr w:type="spellEnd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где врачом установлено, что животные действительно сильно истощены, им назначено соответствующее лечение. На передержке у волонтеров собакам была оказана необходима помощь. Обращение в части привлечения гражданки к ответственности за жестокое обращение с животными направлено в правоохранительные органы.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начале июня на имя Губернатора Камчатского края и депутата Государственной Думы Федерального Собрания Российской Федерации Яровой И.А. поступило коллективное обращение работников </w:t>
      </w:r>
      <w:proofErr w:type="spellStart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Усть</w:t>
      </w:r>
      <w:proofErr w:type="spellEnd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-Большерецкого </w:t>
      </w:r>
      <w:proofErr w:type="spellStart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энергорайона</w:t>
      </w:r>
      <w:proofErr w:type="spellEnd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АО «</w:t>
      </w:r>
      <w:proofErr w:type="spellStart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Камчатэнергосервис</w:t>
      </w:r>
      <w:proofErr w:type="spellEnd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в котором сообщалось о предстоящем сокращении 130 работников и прекращении деятельности предприятия в связи с отсутствием денежных средств на закупку топлива. 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Данная ситуация сложилась по причине неплатежей потребителей за поставленный коммунальный ресурс, в том числе населения </w:t>
      </w:r>
      <w:proofErr w:type="spellStart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Усть</w:t>
      </w:r>
      <w:proofErr w:type="spellEnd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-Большерецкого муниципального района.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Данное обращение взято на контроль. Правительством Камчатского края оперативно приняты меры по урегулированию негативной ситуации. На совещании </w:t>
      </w:r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под председательством Первого вице-губернатора Камчатского края И.Л. </w:t>
      </w:r>
      <w:proofErr w:type="spellStart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Унтиловой</w:t>
      </w:r>
      <w:proofErr w:type="spellEnd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разработана схема поддержки АО «</w:t>
      </w:r>
      <w:proofErr w:type="spellStart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Камчатэнергосервис</w:t>
      </w:r>
      <w:proofErr w:type="spellEnd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». В результате проделанной работы решением руководства предприятия был отменен приказ о сокращении работников </w:t>
      </w:r>
      <w:proofErr w:type="spellStart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Усть</w:t>
      </w:r>
      <w:proofErr w:type="spellEnd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-Большерецкого </w:t>
      </w:r>
      <w:proofErr w:type="spellStart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энергорайона</w:t>
      </w:r>
      <w:proofErr w:type="spellEnd"/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результатам личного приема граждан заместителем Председателя Правительства Камчатского края В.Н. Карпенко энтузиасту, историку и футболисту, собравшему уникальный материал об истории футбола на Камчатке, была оказана финансовая поддержка на издание книги о камчатском футболе в советские годы.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Яркая подсветка Краевой детской библиотеки им. В. Кручины мешала жителям рядом стоящего дома спокойно спать по ночам, «ядовито-зеленый» свет, по словам жильцов, пугал детей, о чем они сообщили Губернатору Камчатского края в своем обращении. По результатам рассмотрения обращения Министерством культуры Камчатского края, в чьем ведении находится библиотека, принято решение о частичном отключении подсветки здания в ночное время.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 обращения в Правительство Камчатского края жительницы р-на Северо-Восток была ликвидирована свалка строительного мусора возле нового детского сада в районе улицы 70 лет Победы. В результате работы Министерства строительства Камчатского края с нерадивым подрядчиком основное количество мусора было вывезено в течение двух дней. Полностью территория, прилегающая к детскому саду, была очищена в июне к сдаче объекта в эксплуатацию. </w:t>
      </w: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CC" w:rsidRPr="005D03CC" w:rsidRDefault="005D03CC" w:rsidP="005D0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CC" w:rsidRPr="005D03CC" w:rsidRDefault="005D03CC" w:rsidP="005D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3F450B0" wp14:editId="6EC82C54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2690" cy="5722620"/>
            <wp:effectExtent l="0" t="0" r="10160" b="1143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3CC" w:rsidRPr="005D03CC" w:rsidRDefault="005D03CC" w:rsidP="005D03CC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D03CC" w:rsidRPr="005D03CC" w:rsidRDefault="005D03CC" w:rsidP="005D03C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D03CC" w:rsidRPr="005D03CC" w:rsidRDefault="005D03CC" w:rsidP="005D03CC"/>
    <w:p w:rsidR="00A91A5C" w:rsidRDefault="005D03CC"/>
    <w:sectPr w:rsidR="00A91A5C" w:rsidSect="00467CD6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CC"/>
    <w:rsid w:val="005D03CC"/>
    <w:rsid w:val="008A4BD5"/>
    <w:rsid w:val="00E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D772A-DF92-4D86-B53F-FE75E0C8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3515579071134628E-2"/>
          <c:y val="4.2489908646696412E-2"/>
          <c:w val="0.71122868900646674"/>
          <c:h val="0.8312866245447808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2018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6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240</c:v>
                </c:pt>
                <c:pt idx="1">
                  <c:v>104</c:v>
                </c:pt>
                <c:pt idx="2">
                  <c:v>101</c:v>
                </c:pt>
                <c:pt idx="3">
                  <c:v>80</c:v>
                </c:pt>
                <c:pt idx="4">
                  <c:v>82</c:v>
                </c:pt>
                <c:pt idx="5">
                  <c:v>91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 2017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47</c:v>
                </c:pt>
                <c:pt idx="1">
                  <c:v>49</c:v>
                </c:pt>
                <c:pt idx="2">
                  <c:v>75</c:v>
                </c:pt>
                <c:pt idx="3">
                  <c:v>48</c:v>
                </c:pt>
                <c:pt idx="4">
                  <c:v>61</c:v>
                </c:pt>
                <c:pt idx="5">
                  <c:v>62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4991984"/>
        <c:axId val="224990864"/>
      </c:lineChart>
      <c:catAx>
        <c:axId val="224991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rgbClr val="7030A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990864"/>
        <c:crosses val="autoZero"/>
        <c:auto val="1"/>
        <c:lblAlgn val="ctr"/>
        <c:lblOffset val="100"/>
        <c:noMultiLvlLbl val="0"/>
      </c:catAx>
      <c:valAx>
        <c:axId val="22499086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\я\н\в\а\р\ь" sourceLinked="0"/>
        <c:majorTickMark val="none"/>
        <c:minorTickMark val="none"/>
        <c:tickLblPos val="nextTo"/>
        <c:crossAx val="22499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365856368262606"/>
          <c:y val="0.14573037452767421"/>
          <c:w val="0.55713366988130497"/>
          <c:h val="0.769971251633713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effectLst>
              <a:glow rad="63500">
                <a:schemeClr val="accent1">
                  <a:alpha val="40000"/>
                </a:schemeClr>
              </a:glow>
              <a:outerShdw blurRad="50800" dist="50800" dir="5400000" algn="ctr" rotWithShape="0">
                <a:srgbClr val="000000">
                  <a:alpha val="77000"/>
                </a:srgbClr>
              </a:outerShdw>
              <a:softEdge rad="12700"/>
            </a:effectLst>
            <a:scene3d>
              <a:camera prst="orthographicFront"/>
              <a:lightRig rig="balanced" dir="t"/>
            </a:scene3d>
            <a:sp3d prstMaterial="dkEdge">
              <a:bevelT w="222250" prst="riblet"/>
              <a:bevelB prst="relaxedInset"/>
            </a:sp3d>
          </c:spPr>
          <c:explosion val="11"/>
          <c:dLbls>
            <c:dLbl>
              <c:idx val="0"/>
              <c:layout>
                <c:manualLayout>
                  <c:x val="-8.6127685159165315E-2"/>
                  <c:y val="-3.0699203356489803E-3"/>
                </c:manualLayout>
              </c:layout>
              <c:tx>
                <c:rich>
                  <a:bodyPr/>
                  <a:lstStyle/>
                  <a:p>
                    <a:pPr marL="0" indent="0">
                      <a:buNone/>
                      <a:defRPr sz="1200" baseline="0"/>
                    </a:pPr>
                    <a:r>
                      <a:rPr lang="ru-RU" i="1" dirty="0" smtClean="0">
                        <a:solidFill>
                          <a:schemeClr val="accent1"/>
                        </a:solidFill>
                      </a:rPr>
                      <a:t>Развитие </a:t>
                    </a:r>
                    <a:r>
                      <a:rPr lang="ru-RU" i="1" dirty="0">
                        <a:solidFill>
                          <a:schemeClr val="accent1"/>
                        </a:solidFill>
                      </a:rPr>
                      <a:t>предпринимательской деятельности, малый и средний бизнес; </a:t>
                    </a:r>
                    <a:endParaRPr lang="ru-RU" i="1" dirty="0" smtClean="0">
                      <a:solidFill>
                        <a:schemeClr val="accent1"/>
                      </a:solidFill>
                    </a:endParaRPr>
                  </a:p>
                  <a:p>
                    <a:pPr marL="0" indent="0">
                      <a:buNone/>
                      <a:defRPr sz="1200" baseline="0"/>
                    </a:pPr>
                    <a:r>
                      <a:rPr lang="ru-RU" sz="1600" dirty="0" smtClean="0"/>
                      <a:t>2,9%</a:t>
                    </a:r>
                    <a:endParaRPr lang="ru-RU" sz="1600" dirty="0"/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7666582665160164E-2"/>
                  <c:y val="-2.310869953276103E-2"/>
                </c:manualLayout>
              </c:layout>
              <c:tx>
                <c:rich>
                  <a:bodyPr/>
                  <a:lstStyle/>
                  <a:p>
                    <a:r>
                      <a:rPr lang="ru-RU" i="1" dirty="0" smtClean="0"/>
                      <a:t> </a:t>
                    </a:r>
                    <a:r>
                      <a:rPr lang="ru-RU" i="1" dirty="0">
                        <a:solidFill>
                          <a:schemeClr val="accent1"/>
                        </a:solidFill>
                      </a:rPr>
                      <a:t>Социальное обеспечение, материальная помощь многодетный, пенсионерам и малообеспеченным слоям населения; </a:t>
                    </a:r>
                    <a:endParaRPr lang="ru-RU" i="1" dirty="0" smtClean="0">
                      <a:solidFill>
                        <a:schemeClr val="accent1"/>
                      </a:solidFill>
                    </a:endParaRPr>
                  </a:p>
                  <a:p>
                    <a:r>
                      <a:rPr lang="ru-RU" sz="1600" dirty="0" smtClean="0"/>
                      <a:t>1,2%</a:t>
                    </a:r>
                    <a:endParaRPr lang="ru-RU" sz="1600" dirty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8547618466963467E-3"/>
                  <c:y val="4.2780515023923681E-2"/>
                </c:manualLayout>
              </c:layout>
              <c:tx>
                <c:rich>
                  <a:bodyPr/>
                  <a:lstStyle/>
                  <a:p>
                    <a:r>
                      <a:rPr lang="ru-RU" dirty="0" smtClean="0">
                        <a:solidFill>
                          <a:schemeClr val="accent1"/>
                        </a:solidFill>
                      </a:rPr>
                      <a:t> </a:t>
                    </a:r>
                    <a:r>
                      <a:rPr lang="ru-RU" i="1" dirty="0">
                        <a:solidFill>
                          <a:schemeClr val="accent1"/>
                        </a:solidFill>
                      </a:rPr>
                      <a:t>Благоустройство городов и поселков. Обустройство придомовых территорий; </a:t>
                    </a:r>
                    <a:endParaRPr lang="ru-RU" i="1" dirty="0" smtClean="0">
                      <a:solidFill>
                        <a:schemeClr val="accent1"/>
                      </a:solidFill>
                    </a:endParaRPr>
                  </a:p>
                  <a:p>
                    <a:r>
                      <a:rPr lang="ru-RU" sz="1600" dirty="0" smtClean="0"/>
                      <a:t>4,8%</a:t>
                    </a:r>
                    <a:endParaRPr lang="ru-RU" sz="1600" dirty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2.652561239432288E-2"/>
                </c:manualLayout>
              </c:layout>
              <c:tx>
                <c:rich>
                  <a:bodyPr/>
                  <a:lstStyle/>
                  <a:p>
                    <a:r>
                      <a:rPr lang="ru-RU" i="1" dirty="0" smtClean="0">
                        <a:solidFill>
                          <a:schemeClr val="accent1"/>
                        </a:solidFill>
                      </a:rPr>
                      <a:t>Выделение </a:t>
                    </a:r>
                    <a:r>
                      <a:rPr lang="ru-RU" i="1" dirty="0">
                        <a:solidFill>
                          <a:schemeClr val="accent1"/>
                        </a:solidFill>
                      </a:rPr>
                      <a:t>земельных участков для строительства, фермерства, огородничества; </a:t>
                    </a:r>
                    <a:endParaRPr lang="ru-RU" i="1" dirty="0" smtClean="0">
                      <a:solidFill>
                        <a:schemeClr val="accent1"/>
                      </a:solidFill>
                    </a:endParaRPr>
                  </a:p>
                  <a:p>
                    <a:r>
                      <a:rPr lang="ru-RU" sz="1600" dirty="0" smtClean="0"/>
                      <a:t>1,3%</a:t>
                    </a:r>
                    <a:endParaRPr lang="ru-RU" sz="1600" dirty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3155493226015783"/>
                  <c:y val="-1.0128227979492724E-3"/>
                </c:manualLayout>
              </c:layout>
              <c:tx>
                <c:rich>
                  <a:bodyPr/>
                  <a:lstStyle/>
                  <a:p>
                    <a:r>
                      <a:rPr lang="ru-RU" i="1" dirty="0" smtClean="0">
                        <a:solidFill>
                          <a:schemeClr val="accent1"/>
                        </a:solidFill>
                      </a:rPr>
                      <a:t>Переселение </a:t>
                    </a:r>
                    <a:r>
                      <a:rPr lang="ru-RU" i="1" dirty="0">
                        <a:solidFill>
                          <a:schemeClr val="accent1"/>
                        </a:solidFill>
                      </a:rPr>
                      <a:t>из подвалов, бараков, общежитий, аварийного и ветхого жилья. Улучшение жилищных условий; </a:t>
                    </a:r>
                    <a:endParaRPr lang="ru-RU" i="1" dirty="0" smtClean="0">
                      <a:solidFill>
                        <a:schemeClr val="accent1"/>
                      </a:solidFill>
                    </a:endParaRPr>
                  </a:p>
                  <a:p>
                    <a:r>
                      <a:rPr lang="ru-RU" sz="1600" dirty="0" smtClean="0"/>
                      <a:t>13%</a:t>
                    </a:r>
                    <a:endParaRPr lang="ru-RU" sz="1600" dirty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5587057625936773E-2"/>
                  <c:y val="2.9725161623739685E-2"/>
                </c:manualLayout>
              </c:layout>
              <c:tx>
                <c:rich>
                  <a:bodyPr/>
                  <a:lstStyle/>
                  <a:p>
                    <a:r>
                      <a:rPr lang="ru-RU" i="1" dirty="0" smtClean="0">
                        <a:solidFill>
                          <a:schemeClr val="accent1"/>
                        </a:solidFill>
                      </a:rPr>
                      <a:t>Оплата </a:t>
                    </a:r>
                    <a:r>
                      <a:rPr lang="ru-RU" i="1" dirty="0">
                        <a:solidFill>
                          <a:schemeClr val="accent1"/>
                        </a:solidFill>
                      </a:rPr>
                      <a:t>жилищно-коммунальных услуг. Тарифы и льготы</a:t>
                    </a:r>
                    <a:r>
                      <a:rPr lang="ru-RU" i="1" dirty="0" smtClean="0">
                        <a:solidFill>
                          <a:schemeClr val="accent1"/>
                        </a:solidFill>
                      </a:rPr>
                      <a:t>;</a:t>
                    </a:r>
                  </a:p>
                  <a:p>
                    <a:r>
                      <a:rPr lang="ru-RU" sz="1600" dirty="0" smtClean="0"/>
                      <a:t> 5,5%</a:t>
                    </a:r>
                    <a:endParaRPr lang="ru-RU" sz="1600" dirty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5.6821148147044184E-2"/>
                  <c:y val="7.8492371009962689E-2"/>
                </c:manualLayout>
              </c:layout>
              <c:tx>
                <c:rich>
                  <a:bodyPr/>
                  <a:lstStyle/>
                  <a:p>
                    <a:r>
                      <a:rPr lang="ru-RU" i="1" dirty="0" smtClean="0">
                        <a:solidFill>
                          <a:schemeClr val="accent1"/>
                        </a:solidFill>
                      </a:rPr>
                      <a:t>Управляющие </a:t>
                    </a:r>
                    <a:r>
                      <a:rPr lang="ru-RU" i="1" dirty="0">
                        <a:solidFill>
                          <a:schemeClr val="accent1"/>
                        </a:solidFill>
                      </a:rPr>
                      <a:t>компании, договоры на содержание и ремонт жилья; </a:t>
                    </a:r>
                    <a:endParaRPr lang="ru-RU" i="1" dirty="0" smtClean="0">
                      <a:solidFill>
                        <a:schemeClr val="accent1"/>
                      </a:solidFill>
                    </a:endParaRPr>
                  </a:p>
                  <a:p>
                    <a:r>
                      <a:rPr lang="ru-RU" sz="1600" dirty="0" smtClean="0"/>
                      <a:t>6,6%</a:t>
                    </a:r>
                    <a:endParaRPr lang="ru-RU" sz="1600" dirty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14388401288745695"/>
                  <c:y val="2.357017225663012E-2"/>
                </c:manualLayout>
              </c:layout>
              <c:tx>
                <c:rich>
                  <a:bodyPr/>
                  <a:lstStyle/>
                  <a:p>
                    <a:r>
                      <a:rPr lang="ru-RU" i="1" dirty="0" smtClean="0">
                        <a:solidFill>
                          <a:schemeClr val="accent1"/>
                        </a:solidFill>
                      </a:rPr>
                      <a:t>Предоставление </a:t>
                    </a:r>
                    <a:r>
                      <a:rPr lang="ru-RU" i="1" dirty="0">
                        <a:solidFill>
                          <a:schemeClr val="accent1"/>
                        </a:solidFill>
                      </a:rPr>
                      <a:t>коммунальных </a:t>
                    </a:r>
                    <a:r>
                      <a:rPr lang="ru-RU" i="1" dirty="0" smtClean="0">
                        <a:solidFill>
                          <a:schemeClr val="accent1"/>
                        </a:solidFill>
                      </a:rPr>
                      <a:t>услуг </a:t>
                    </a:r>
                  </a:p>
                  <a:p>
                    <a:r>
                      <a:rPr lang="ru-RU" i="1" dirty="0" smtClean="0">
                        <a:solidFill>
                          <a:schemeClr val="accent1"/>
                        </a:solidFill>
                      </a:rPr>
                      <a:t> </a:t>
                    </a:r>
                    <a:r>
                      <a:rPr lang="ru-RU" i="1" dirty="0">
                        <a:solidFill>
                          <a:schemeClr val="accent1"/>
                        </a:solidFill>
                      </a:rPr>
                      <a:t>ненадлежащего качества; </a:t>
                    </a:r>
                    <a:endParaRPr lang="ru-RU" i="1" dirty="0" smtClean="0">
                      <a:solidFill>
                        <a:schemeClr val="accent1"/>
                      </a:solidFill>
                    </a:endParaRPr>
                  </a:p>
                  <a:p>
                    <a:r>
                      <a:rPr lang="ru-RU" sz="1600" dirty="0" smtClean="0"/>
                      <a:t>5,7%</a:t>
                    </a:r>
                    <a:endParaRPr lang="ru-RU" sz="1600" dirty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1. Развитие предпринимательской деятельности, малый и средний бизнес</c:v>
                </c:pt>
                <c:pt idx="1">
                  <c:v>2. Социальное обеспечение, материальная помощь многодетный, пенсионерам и малообеспеченным слоям населения</c:v>
                </c:pt>
                <c:pt idx="2">
                  <c:v>3. Благоустройство городов и поселков. Обустройство придомовых территорий</c:v>
                </c:pt>
                <c:pt idx="3">
                  <c:v>4. Выделение земельных участков для строительства, фермерства, огородничества</c:v>
                </c:pt>
                <c:pt idx="4">
                  <c:v>5. Переселение из подвалов, бараков, общежитий, аварийного и ветхого жилья. Улучшение жилищных условий</c:v>
                </c:pt>
                <c:pt idx="5">
                  <c:v>6. Оплата жилищно-коммунальных услуг. Тарифы и льготы</c:v>
                </c:pt>
                <c:pt idx="6">
                  <c:v>7. Управляющие компании, договоры на содержание и ремонт жилья</c:v>
                </c:pt>
                <c:pt idx="7">
                  <c:v>8. Предоставление коммунальных услуг ненадлежащего качества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2.9</c:v>
                </c:pt>
                <c:pt idx="1">
                  <c:v>1.2</c:v>
                </c:pt>
                <c:pt idx="2">
                  <c:v>4.8</c:v>
                </c:pt>
                <c:pt idx="3">
                  <c:v>1.3</c:v>
                </c:pt>
                <c:pt idx="4">
                  <c:v>13</c:v>
                </c:pt>
                <c:pt idx="5">
                  <c:v>5.5</c:v>
                </c:pt>
                <c:pt idx="6">
                  <c:v>6.6</c:v>
                </c:pt>
                <c:pt idx="7">
                  <c:v>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3"/>
      </c:pieChart>
      <c:spPr>
        <a:effectLst>
          <a:glow rad="63500">
            <a:srgbClr val="C00000">
              <a:alpha val="40000"/>
            </a:srgbClr>
          </a:glow>
        </a:effectLst>
        <a:scene3d>
          <a:camera prst="orthographicFront"/>
          <a:lightRig rig="threePt" dir="t"/>
        </a:scene3d>
        <a:sp3d/>
      </c:spPr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1273</Words>
  <Characters>7261</Characters>
  <Application>Microsoft Office Word</Application>
  <DocSecurity>0</DocSecurity>
  <Lines>60</Lines>
  <Paragraphs>17</Paragraphs>
  <ScaleCrop>false</ScaleCrop>
  <Company/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2018-08-02T02:58:00Z</dcterms:created>
  <dcterms:modified xsi:type="dcterms:W3CDTF">2018-08-02T03:03:00Z</dcterms:modified>
</cp:coreProperties>
</file>