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A4" w:rsidRPr="00CA55C0" w:rsidRDefault="00925BA4" w:rsidP="0092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Статистический обзор обращений граждан, поступивших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36EB" w:rsidRPr="0018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Губернатора Камчатского края, Первого вице-губернатора Камчатского края, Вице-губернатора Камчатского края, заместителей Председателя Правительства Камчатского края</w:t>
      </w:r>
    </w:p>
    <w:bookmarkEnd w:id="0"/>
    <w:p w:rsidR="00925BA4" w:rsidRPr="00CA55C0" w:rsidRDefault="00925BA4" w:rsidP="0092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BA4" w:rsidRPr="00CA55C0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36EB" w:rsidRP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1836EB" w:rsidRPr="0018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E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ащений, содержащих </w:t>
      </w:r>
      <w:r w:rsidR="001836EB" w:rsidRP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7898</w:t>
      </w:r>
      <w:r w:rsidR="00E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количество обращений </w:t>
      </w:r>
      <w:r w:rsidR="00BB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1836EB" w:rsidRP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2955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201</w:t>
      </w:r>
      <w:r w:rsidR="001836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</w:t>
      </w:r>
    </w:p>
    <w:p w:rsidR="00925BA4" w:rsidRDefault="005613EC" w:rsidP="00E71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676567" wp14:editId="07A9FF35">
            <wp:simplePos x="0" y="0"/>
            <wp:positionH relativeFrom="margin">
              <wp:posOffset>125730</wp:posOffset>
            </wp:positionH>
            <wp:positionV relativeFrom="paragraph">
              <wp:posOffset>669290</wp:posOffset>
            </wp:positionV>
            <wp:extent cx="6175375" cy="3077210"/>
            <wp:effectExtent l="0" t="0" r="0" b="889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рактически </w:t>
      </w:r>
      <w:r w:rsidR="00EA4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втрое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4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увеличилось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5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количество обращений на имя Президента Росс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ийской Федерации, направленных на рассмотрение в Правительство Камчатского края.</w:t>
      </w:r>
      <w:r w:rsidR="00925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</w:t>
      </w:r>
      <w:r w:rsidR="00EA4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году их было </w:t>
      </w:r>
      <w:r w:rsidR="00EA40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543</w:t>
      </w:r>
      <w:r w:rsidR="00BB6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в отчетном периоде – </w:t>
      </w:r>
      <w:r w:rsidR="00EA40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1591</w:t>
      </w:r>
      <w:r w:rsidR="00925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B64D2" w:rsidRDefault="00BB64D2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F4F79" w:rsidRPr="006F4F79" w:rsidRDefault="005613EC" w:rsidP="006F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активность граждан, обратившихся в 20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имя Президента Российской Федерации</w:t>
      </w:r>
      <w:r w:rsidR="003866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прошедшими 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40EF" w:rsidRP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июня по 1 июля всероссийск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A40EF" w:rsidRP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40EF" w:rsidRP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поправкам в Конституцию</w:t>
      </w:r>
      <w:r w:rsid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пандемией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коронавирусной инфекции (COVID-19) </w:t>
      </w:r>
      <w:r w:rsid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России.</w:t>
      </w:r>
    </w:p>
    <w:p w:rsidR="006F4F79" w:rsidRPr="006F4F79" w:rsidRDefault="006F4F79" w:rsidP="006F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C5" w:rsidRDefault="003866C5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FE" w:rsidRPr="00E0358A" w:rsidRDefault="00925BA4" w:rsidP="0017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80 % от общего количества обращений имеют простую письменную форму и поступили по почте либо переданы заявителями лично в Приемную граждан, </w:t>
      </w:r>
      <w:r w:rsidR="00E7119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обращения поступают посредством факсимильной связи и в форме телеграмм.</w:t>
      </w:r>
    </w:p>
    <w:p w:rsidR="00925BA4" w:rsidRPr="00E0358A" w:rsidRDefault="00746BFA" w:rsidP="00172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обращений граждан осуществляется 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 w:rsidR="001726FE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="00925BA4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:rsidR="00925BA4" w:rsidRPr="00E0358A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Неуклонно растет количество обращений, полученных через Интернет приемную исполнительных органов государственной власти Камчатского края, размещенную по адресу </w:t>
      </w:r>
      <w:hyperlink r:id="rId7" w:history="1">
        <w:r w:rsidRPr="00E035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035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35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E035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035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7C1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количество граждан, реализуя свое право на обращение в государственные органы, выбирают электронную форму направления обращения. Изложенное говорит и о большей доступности</w:t>
      </w:r>
      <w:r w:rsidR="00CC0AAD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</w:t>
      </w:r>
      <w:r w:rsidR="003777C1"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населения. </w:t>
      </w:r>
      <w:r w:rsidRPr="00E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приведены в таблице ниже.</w:t>
      </w:r>
    </w:p>
    <w:p w:rsidR="00925BA4" w:rsidRPr="00EA40EF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</w:tblGrid>
      <w:tr w:rsidR="00E0358A" w:rsidRPr="00E0358A" w:rsidTr="00B53A9B"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2017 год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 год</w:t>
            </w:r>
          </w:p>
        </w:tc>
      </w:tr>
      <w:tr w:rsidR="00E0358A" w:rsidRPr="00EA40EF" w:rsidTr="00B53A9B"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2548" w:type="dxa"/>
          </w:tcPr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358A" w:rsidRPr="00E0358A" w:rsidRDefault="00E0358A" w:rsidP="00E035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</w:tr>
    </w:tbl>
    <w:p w:rsidR="00925BA4" w:rsidRPr="00EA40EF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25BA4" w:rsidRPr="00CA55C0" w:rsidRDefault="00A50D76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925BA4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обращений было принято и рассмотрено в порядке статьи 13 Федерального закона от </w:t>
      </w:r>
      <w:r w:rsidR="00711EA7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</w:t>
      </w:r>
      <w:r w:rsidR="00925BA4"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то есть в ходе личных приемов граждан.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BA4" w:rsidRPr="00CA55C0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A4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A40EF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0AAD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Правительства – Первы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вице-губернатор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вице-губернатор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Вице-губернатор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Камчатского края, 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2663A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AAD" w:rsidRP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  <w:r w:rsidR="00C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5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399</w:t>
      </w:r>
      <w:r w:rsidR="00CC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приемов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районах края</w:t>
      </w:r>
      <w:r w:rsidR="00C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</w:t>
      </w:r>
      <w:r w:rsidR="00EA40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таких обращений было </w:t>
      </w:r>
      <w:r w:rsidR="0002663A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CC0A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5BA4" w:rsidRPr="00CA55C0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834"/>
        <w:gridCol w:w="2689"/>
      </w:tblGrid>
      <w:tr w:rsidR="00925BA4" w:rsidRPr="00671164" w:rsidTr="0002663A">
        <w:trPr>
          <w:cantSplit/>
          <w:trHeight w:val="684"/>
          <w:tblHeader/>
        </w:trPr>
        <w:tc>
          <w:tcPr>
            <w:tcW w:w="2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02663A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BA4" w:rsidRPr="0002663A" w:rsidRDefault="00925BA4" w:rsidP="000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 w:rsidR="00CC0AAD" w:rsidRPr="0002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2663A" w:rsidRPr="0002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C0AAD" w:rsidRPr="00026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25BA4" w:rsidRPr="00671164" w:rsidTr="0002663A">
        <w:trPr>
          <w:cantSplit/>
          <w:trHeight w:val="549"/>
        </w:trPr>
        <w:tc>
          <w:tcPr>
            <w:tcW w:w="2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02663A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2663A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2663A" w:rsidRDefault="00746BF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5BA4"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02663A" w:rsidRDefault="0002663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 В.В.</w:t>
            </w:r>
            <w:r w:rsidR="00925BA4"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2663A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2663A" w:rsidRDefault="0002663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2663A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3A" w:rsidRPr="0002663A" w:rsidRDefault="0002663A" w:rsidP="0002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А.О. (Председатель Правительства - Первый вице-губернатор)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3A" w:rsidRPr="0002663A" w:rsidRDefault="0002663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3A" w:rsidRPr="0002663A" w:rsidRDefault="0002663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360B7A" w:rsidRDefault="00360B7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 С.В</w:t>
            </w:r>
            <w:r w:rsidR="00925BA4" w:rsidRPr="0036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(Первый вице-губернатор)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360B7A" w:rsidRDefault="00360B7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360B7A" w:rsidRDefault="00360B7A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2829F0" w:rsidRDefault="002829F0" w:rsidP="0028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 П.Е. (Вице-губернатор</w:t>
            </w:r>
            <w:r w:rsidR="00925BA4" w:rsidRPr="0028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2829F0" w:rsidRDefault="002829F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2829F0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0190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90" w:rsidRPr="002829F0" w:rsidRDefault="008A0190" w:rsidP="0028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Василевский Р.С. </w:t>
            </w: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90" w:rsidRPr="002829F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90" w:rsidRPr="002829F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8A0190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Т.Ю. (заместитель Председателя Правительства)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С.А</w:t>
            </w:r>
            <w:r w:rsidR="00925BA4"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(заместитель Председателя Правительства)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</w:t>
            </w:r>
            <w:r w:rsidR="00925BA4"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Правительства)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8A0190" w:rsidRDefault="008A0190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045456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 w:rsidR="00045456"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 Правительства)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25BA4" w:rsidRPr="00671164" w:rsidTr="0002663A">
        <w:trPr>
          <w:cantSplit/>
          <w:trHeight w:val="6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456" w:rsidRPr="00045456" w:rsidRDefault="00045456" w:rsidP="000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lang w:eastAsia="ru-RU"/>
              </w:rPr>
              <w:t xml:space="preserve">иные должностные лица Правительства </w:t>
            </w:r>
          </w:p>
          <w:p w:rsidR="00925BA4" w:rsidRPr="00045456" w:rsidRDefault="00045456" w:rsidP="0004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25BA4" w:rsidRPr="00BC7073" w:rsidTr="0002663A">
        <w:trPr>
          <w:cantSplit/>
          <w:trHeight w:val="32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4" w:rsidRPr="00045456" w:rsidRDefault="00925BA4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4" w:rsidRPr="00045456" w:rsidRDefault="00045456" w:rsidP="00A4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</w:tbl>
    <w:p w:rsidR="00925BA4" w:rsidRPr="00CA55C0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A4" w:rsidRPr="00CA55C0" w:rsidRDefault="00925BA4" w:rsidP="00925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18" w:rsidRPr="00362818" w:rsidRDefault="00362818" w:rsidP="00362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Камчатского края принят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Администрации Президента Российской Федерации в режиме видео-конференц-связи. По поручению Губернатора Камчатского края в указанных приемах принимал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заместители Председателя Правительства Камчатского края 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Т.Ю</w:t>
      </w:r>
      <w:r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F92CD6" w:rsidRPr="00F92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 С.А.</w:t>
      </w:r>
    </w:p>
    <w:p w:rsidR="00362818" w:rsidRDefault="00362818" w:rsidP="00183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9C" w:rsidRPr="006F4F79" w:rsidRDefault="0018349C" w:rsidP="00183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711EA7"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</w:t>
      </w:r>
      <w:r w:rsidRPr="0071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 в государственном органе осуществляется не только должностным, но и уполномоченным лицом - специалистами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работе с обращениями граждан Аппарата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Правительства Камчатского края (далее – 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Прием ве</w:t>
      </w:r>
      <w:r w:rsidR="006F4F79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 Приемной граждан, расположенной в холле первого этажа здания Правительства Камчатского края.</w:t>
      </w:r>
    </w:p>
    <w:p w:rsidR="00925BA4" w:rsidRPr="005D03CC" w:rsidRDefault="0018349C" w:rsidP="00183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 w:rsidR="00E7119E" w:rsidRPr="006F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49C" w:rsidRDefault="0018349C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31" w:rsidRDefault="00F8070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19D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C4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19D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рассматриваемом периоде</w:t>
      </w:r>
      <w:r w:rsidR="002C4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F4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тематике «Экономика» - </w:t>
      </w:r>
      <w:r w:rsidR="00F47E31" w:rsidRPr="006F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34,6%</w:t>
      </w:r>
      <w:r w:rsidR="00F4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количества. К данной тематике относятся вопросы экологической безопасности, комплексного благоустройства, а также защиты прав на землю.</w:t>
      </w:r>
    </w:p>
    <w:p w:rsidR="00F47E31" w:rsidRPr="005D03CC" w:rsidRDefault="00F47E31" w:rsidP="00F47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 2020 году произошел всплеск обращений на тему охраны водных биологических ресурсов, гуманного отношения к объектам животного мира. Всего поступило 819 обращений по указанной тематике (это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10,8</w:t>
      </w:r>
      <w:r w:rsidRPr="0064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количества). В частности, жители выражали опасения по поводу защиты и сохранности Тихого океана и его гидробионтов.</w:t>
      </w:r>
    </w:p>
    <w:p w:rsidR="00F5237E" w:rsidRPr="00F5237E" w:rsidRDefault="00F47E31" w:rsidP="00F52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31,8%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относятся к тематике «Социальная сфера». В основном вопросы указанной тематики отнесены к санитарно-эпидемиологическо</w:t>
      </w:r>
      <w:r w:rsid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F5237E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защите инвалидов, многодетных семей, пенсионеров и иных категорий граждан также содержатся в данном тематическом блоке.</w:t>
      </w:r>
    </w:p>
    <w:p w:rsidR="00F47E31" w:rsidRDefault="00F47E31" w:rsidP="00F47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по работе медицинских учреждений, качеству предоставления медицинских услуг, организацию оказания врачебной помощи населению, в том числе вопросы медицинской профилактики, по-прежнему остается высокой – </w:t>
      </w:r>
      <w:r w:rsidR="00F5237E" w:rsidRPr="00F5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10,7</w:t>
      </w:r>
      <w:r w:rsidRPr="00F5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 (в 201</w:t>
      </w:r>
      <w:r w:rsidR="00F5237E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5237E"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F388B" w:rsidRDefault="00F5237E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7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17,3</w:t>
      </w:r>
      <w:r w:rsidR="00925BA4" w:rsidRPr="007F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Это, как правило, просьбы о содействии</w:t>
      </w:r>
      <w:r w:rsidR="00F8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</w:t>
      </w:r>
      <w:r w:rsidR="007F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общежитий, предоставлении жилья по договорам социального найма гражданам, состоящим на учете в органе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(7,8% от общего числа обращений)</w:t>
      </w:r>
      <w:r w:rsidR="007F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BA4" w:rsidRDefault="007F388B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ее начисления не согласны </w:t>
      </w:r>
      <w:r w:rsidR="00F5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</w:t>
      </w:r>
      <w:r w:rsidRPr="007F3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обратившихся в 20</w:t>
      </w:r>
      <w:r w:rsidR="00F523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граждан</w:t>
      </w:r>
      <w:r w:rsidR="00925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A4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иные данные о процентной доле вопросов, по которым отмечена повышенная активность граждан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64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1CA9" w:rsidRDefault="001E1CA9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10" w:rsidRPr="00D76602" w:rsidRDefault="00703110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1E1" w:rsidRPr="00D331E1" w:rsidRDefault="001E1CA9" w:rsidP="001E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3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тематического классификатора, по которым отмечена </w:t>
      </w:r>
    </w:p>
    <w:p w:rsidR="00D331E1" w:rsidRPr="00D331E1" w:rsidRDefault="001E1CA9" w:rsidP="001E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3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повышенная активность граждан, обратившихся в 20</w:t>
      </w:r>
      <w:r w:rsidR="00F5237E" w:rsidRPr="00D33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</w:t>
      </w:r>
      <w:r w:rsidRPr="00D33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году</w:t>
      </w:r>
    </w:p>
    <w:p w:rsidR="001E1CA9" w:rsidRPr="00D331E1" w:rsidRDefault="001E1CA9" w:rsidP="001E1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3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(более 1% от общей доли поступивших вопросов)</w:t>
      </w:r>
    </w:p>
    <w:p w:rsidR="001E1CA9" w:rsidRDefault="001E1CA9" w:rsidP="001E1CA9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</w:p>
    <w:p w:rsidR="001E1CA9" w:rsidRPr="00C056E8" w:rsidRDefault="00C056E8" w:rsidP="001E1CA9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ru-RU"/>
        </w:rPr>
      </w:pPr>
      <w:r>
        <w:rPr>
          <w:rFonts w:eastAsia="Times New Roman" w:cstheme="minorHAnsi"/>
          <w:sz w:val="16"/>
          <w:szCs w:val="16"/>
          <w:lang w:eastAsia="ru-RU"/>
        </w:rPr>
        <w:t>ДИАГРАММА</w:t>
      </w:r>
      <w:r w:rsidR="001E1CA9" w:rsidRPr="00C056E8">
        <w:rPr>
          <w:rFonts w:eastAsia="Times New Roman" w:cstheme="minorHAnsi"/>
          <w:sz w:val="16"/>
          <w:szCs w:val="16"/>
          <w:lang w:eastAsia="ru-RU"/>
        </w:rPr>
        <w:t xml:space="preserve"> 2</w:t>
      </w:r>
    </w:p>
    <w:p w:rsidR="001E1CA9" w:rsidRDefault="001E1CA9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522DA5B" wp14:editId="351FA708">
            <wp:simplePos x="0" y="0"/>
            <wp:positionH relativeFrom="page">
              <wp:posOffset>66675</wp:posOffset>
            </wp:positionH>
            <wp:positionV relativeFrom="paragraph">
              <wp:posOffset>214630</wp:posOffset>
            </wp:positionV>
            <wp:extent cx="7380605" cy="5881370"/>
            <wp:effectExtent l="0" t="0" r="10795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1E" w:rsidRDefault="00131C1E" w:rsidP="00795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A4" w:rsidRPr="005D03CC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3A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0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925BA4" w:rsidRPr="005D03CC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8A3A1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рассмотрено с результатом «отказано».</w:t>
      </w:r>
    </w:p>
    <w:p w:rsidR="00925BA4" w:rsidRPr="005D03CC" w:rsidRDefault="00925BA4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8A3A1F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 нашли свое подтверждение в ходе рассмотрения, по ним проводятся (либо проведены) соответствующие мероприятия.</w:t>
      </w:r>
    </w:p>
    <w:p w:rsidR="00925BA4" w:rsidRDefault="008A3A1F" w:rsidP="00925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C0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925BA4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:rsidR="00DF6994" w:rsidRDefault="00DF6994" w:rsidP="00D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19D" w:rsidRDefault="002C419D" w:rsidP="00D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C419D" w:rsidSect="00795128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07" w:rsidRDefault="00EF7907" w:rsidP="00795128">
      <w:pPr>
        <w:spacing w:after="0" w:line="240" w:lineRule="auto"/>
      </w:pPr>
      <w:r>
        <w:separator/>
      </w:r>
    </w:p>
  </w:endnote>
  <w:endnote w:type="continuationSeparator" w:id="0">
    <w:p w:rsidR="00EF7907" w:rsidRDefault="00EF7907" w:rsidP="007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17173"/>
      <w:docPartObj>
        <w:docPartGallery w:val="Page Numbers (Bottom of Page)"/>
        <w:docPartUnique/>
      </w:docPartObj>
    </w:sdtPr>
    <w:sdtEndPr/>
    <w:sdtContent>
      <w:p w:rsidR="00795128" w:rsidRDefault="00795128" w:rsidP="00F52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9A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07" w:rsidRDefault="00EF7907" w:rsidP="00795128">
      <w:pPr>
        <w:spacing w:after="0" w:line="240" w:lineRule="auto"/>
      </w:pPr>
      <w:r>
        <w:separator/>
      </w:r>
    </w:p>
  </w:footnote>
  <w:footnote w:type="continuationSeparator" w:id="0">
    <w:p w:rsidR="00EF7907" w:rsidRDefault="00EF7907" w:rsidP="0079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A4"/>
    <w:rsid w:val="0002663A"/>
    <w:rsid w:val="00045456"/>
    <w:rsid w:val="000840E2"/>
    <w:rsid w:val="000C511B"/>
    <w:rsid w:val="00122A2D"/>
    <w:rsid w:val="00131C1E"/>
    <w:rsid w:val="001726FE"/>
    <w:rsid w:val="00174C0E"/>
    <w:rsid w:val="001802D3"/>
    <w:rsid w:val="0018349C"/>
    <w:rsid w:val="001836EB"/>
    <w:rsid w:val="001E1CA9"/>
    <w:rsid w:val="001F76A9"/>
    <w:rsid w:val="00226F9D"/>
    <w:rsid w:val="00255B7A"/>
    <w:rsid w:val="002829F0"/>
    <w:rsid w:val="002B3764"/>
    <w:rsid w:val="002C419D"/>
    <w:rsid w:val="003332FA"/>
    <w:rsid w:val="00360B7A"/>
    <w:rsid w:val="00362818"/>
    <w:rsid w:val="003777C1"/>
    <w:rsid w:val="003814EA"/>
    <w:rsid w:val="003866C5"/>
    <w:rsid w:val="003A05A2"/>
    <w:rsid w:val="003D4287"/>
    <w:rsid w:val="00470846"/>
    <w:rsid w:val="004C2F9C"/>
    <w:rsid w:val="005349A7"/>
    <w:rsid w:val="005613EC"/>
    <w:rsid w:val="00570C43"/>
    <w:rsid w:val="005F3D5C"/>
    <w:rsid w:val="00642380"/>
    <w:rsid w:val="0064589B"/>
    <w:rsid w:val="00655D90"/>
    <w:rsid w:val="0066749A"/>
    <w:rsid w:val="00682831"/>
    <w:rsid w:val="006A2A72"/>
    <w:rsid w:val="006F4F79"/>
    <w:rsid w:val="00703110"/>
    <w:rsid w:val="00711EA7"/>
    <w:rsid w:val="007331AD"/>
    <w:rsid w:val="00746BFA"/>
    <w:rsid w:val="0078533C"/>
    <w:rsid w:val="00787500"/>
    <w:rsid w:val="00795128"/>
    <w:rsid w:val="007F388B"/>
    <w:rsid w:val="00813BC6"/>
    <w:rsid w:val="00814ADE"/>
    <w:rsid w:val="0085122B"/>
    <w:rsid w:val="0086735A"/>
    <w:rsid w:val="008A0190"/>
    <w:rsid w:val="008A168E"/>
    <w:rsid w:val="008A3A1F"/>
    <w:rsid w:val="008A4BD5"/>
    <w:rsid w:val="008C76ED"/>
    <w:rsid w:val="008F23B2"/>
    <w:rsid w:val="008F24B0"/>
    <w:rsid w:val="008F3276"/>
    <w:rsid w:val="00925BA4"/>
    <w:rsid w:val="009A475D"/>
    <w:rsid w:val="009B54C2"/>
    <w:rsid w:val="009E3F24"/>
    <w:rsid w:val="009E6BD7"/>
    <w:rsid w:val="009F5A8A"/>
    <w:rsid w:val="00A43578"/>
    <w:rsid w:val="00A453E4"/>
    <w:rsid w:val="00A50D76"/>
    <w:rsid w:val="00AE4A69"/>
    <w:rsid w:val="00B54CB5"/>
    <w:rsid w:val="00B72787"/>
    <w:rsid w:val="00B73B7C"/>
    <w:rsid w:val="00B73E9B"/>
    <w:rsid w:val="00B86765"/>
    <w:rsid w:val="00BB64D2"/>
    <w:rsid w:val="00C056E8"/>
    <w:rsid w:val="00C37462"/>
    <w:rsid w:val="00C45138"/>
    <w:rsid w:val="00C7784D"/>
    <w:rsid w:val="00CA4C10"/>
    <w:rsid w:val="00CB7321"/>
    <w:rsid w:val="00CC0AAD"/>
    <w:rsid w:val="00D331E1"/>
    <w:rsid w:val="00D56AE7"/>
    <w:rsid w:val="00D6603E"/>
    <w:rsid w:val="00D76602"/>
    <w:rsid w:val="00D84EA0"/>
    <w:rsid w:val="00D857AC"/>
    <w:rsid w:val="00D87973"/>
    <w:rsid w:val="00D93C2F"/>
    <w:rsid w:val="00DB3E9B"/>
    <w:rsid w:val="00DD704A"/>
    <w:rsid w:val="00DE6AC3"/>
    <w:rsid w:val="00DF6994"/>
    <w:rsid w:val="00E00BDF"/>
    <w:rsid w:val="00E0358A"/>
    <w:rsid w:val="00E1253F"/>
    <w:rsid w:val="00E42AB2"/>
    <w:rsid w:val="00E67E75"/>
    <w:rsid w:val="00E7119E"/>
    <w:rsid w:val="00EA40EF"/>
    <w:rsid w:val="00ED59F0"/>
    <w:rsid w:val="00EE65E8"/>
    <w:rsid w:val="00EF3078"/>
    <w:rsid w:val="00EF766D"/>
    <w:rsid w:val="00EF7907"/>
    <w:rsid w:val="00F060C4"/>
    <w:rsid w:val="00F23034"/>
    <w:rsid w:val="00F47E31"/>
    <w:rsid w:val="00F5237E"/>
    <w:rsid w:val="00F8070B"/>
    <w:rsid w:val="00F92CD6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871A-13D5-41E9-A912-4F69982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5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128"/>
  </w:style>
  <w:style w:type="paragraph" w:styleId="a7">
    <w:name w:val="footer"/>
    <w:basedOn w:val="a"/>
    <w:link w:val="a8"/>
    <w:uiPriority w:val="99"/>
    <w:unhideWhenUsed/>
    <w:rsid w:val="0079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hyperlink" Target="http://www.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367922513622805E-3"/>
          <c:y val="9.3861184018664365E-3"/>
          <c:w val="0.83979267287077397"/>
          <c:h val="0.747081146106736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из Администрации Президента 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056555269922879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13110539845720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169665809768638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1591</c:v>
                </c:pt>
                <c:pt idx="1">
                  <c:v>543</c:v>
                </c:pt>
                <c:pt idx="2">
                  <c:v>964</c:v>
                </c:pt>
                <c:pt idx="3">
                  <c:v>657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 поступивших обращений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056555269922879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131105398457208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131105398457581E-3"/>
                  <c:y val="4.6296296296296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  <c:pt idx="3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7556</c:v>
                </c:pt>
                <c:pt idx="1">
                  <c:v>2955</c:v>
                </c:pt>
                <c:pt idx="2">
                  <c:v>3093</c:v>
                </c:pt>
                <c:pt idx="3">
                  <c:v>3297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  <c:pt idx="3">
                  <c:v>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907520"/>
        <c:axId val="68913400"/>
        <c:axId val="173722656"/>
      </c:bar3DChart>
      <c:catAx>
        <c:axId val="6890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CC33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913400"/>
        <c:crosses val="autoZero"/>
        <c:auto val="1"/>
        <c:lblAlgn val="ctr"/>
        <c:lblOffset val="100"/>
        <c:noMultiLvlLbl val="0"/>
      </c:catAx>
      <c:valAx>
        <c:axId val="68913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68907520"/>
        <c:crosses val="autoZero"/>
        <c:crossBetween val="between"/>
      </c:valAx>
      <c:serAx>
        <c:axId val="173722656"/>
        <c:scaling>
          <c:orientation val="minMax"/>
        </c:scaling>
        <c:delete val="1"/>
        <c:axPos val="b"/>
        <c:majorTickMark val="out"/>
        <c:minorTickMark val="none"/>
        <c:tickLblPos val="nextTo"/>
        <c:crossAx val="68913400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9793146165212638"/>
          <c:y val="0.83890638670166229"/>
          <c:w val="0.59591069368256988"/>
          <c:h val="0.133100438384120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365856368262606"/>
          <c:y val="0.14573037452767421"/>
          <c:w val="0.55713366988130497"/>
          <c:h val="0.76997125163371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glow rad="63500">
                <a:schemeClr val="accent1">
                  <a:alpha val="40000"/>
                </a:schemeClr>
              </a:glow>
              <a:outerShdw blurRad="50800" dist="50800" dir="5400000" algn="ctr" rotWithShape="0">
                <a:srgbClr val="000000">
                  <a:alpha val="77000"/>
                </a:srgbClr>
              </a:outerShdw>
              <a:softEdge rad="12700"/>
            </a:effectLst>
            <a:scene3d>
              <a:camera prst="orthographicFront"/>
              <a:lightRig rig="balanced" dir="t"/>
            </a:scene3d>
            <a:sp3d prstMaterial="dkEdge">
              <a:bevelT w="222250" prst="riblet"/>
              <a:bevelB prst="relaxedInset"/>
            </a:sp3d>
          </c:spPr>
          <c:explosion val="11"/>
          <c:dLbls>
            <c:dLbl>
              <c:idx val="0"/>
              <c:layout>
                <c:manualLayout>
                  <c:x val="0.1091311620117863"/>
                  <c:y val="4.2107451155088016E-2"/>
                </c:manualLayout>
              </c:layout>
              <c:tx>
                <c:rich>
                  <a:bodyPr/>
                  <a:lstStyle/>
                  <a:p>
                    <a:pPr marL="0" indent="0">
                      <a:buNone/>
                      <a:defRPr sz="1000" baseline="0"/>
                    </a:pPr>
                    <a:r>
                      <a:rPr lang="ru-RU" sz="1000" i="1" baseline="0" dirty="0" smtClean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Экологическая безопасность</a:t>
                    </a:r>
                  </a:p>
                  <a:p>
                    <a:pPr marL="0" indent="0">
                      <a:buNone/>
                      <a:defRPr sz="1000" baseline="0"/>
                    </a:pPr>
                    <a:r>
                      <a:rPr lang="ru-RU" sz="1000" i="1" baseline="0" dirty="0" smtClean="0">
                        <a:solidFill>
                          <a:sysClr val="windowText" lastClr="000000"/>
                        </a:solidFill>
                      </a:rPr>
                      <a:t>10,8</a:t>
                    </a:r>
                    <a:r>
                      <a:rPr lang="ru-RU" sz="1000" baseline="0" dirty="0" smtClean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ru-RU" sz="1000" baseline="0" dirty="0" smtClean="0"/>
                      <a:t>%</a:t>
                    </a:r>
                    <a:endParaRPr lang="ru-RU" sz="1000" baseline="0" dirty="0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52223428838151"/>
                      <c:h val="0.1922921020102458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7666546306163247E-2"/>
                  <c:y val="0.16126990820166046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/>
                      <a:t> </a:t>
                    </a:r>
                    <a:r>
                      <a:rPr lang="ru-RU" sz="1000" i="1" dirty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Защита прав на землю, земельные споры</a:t>
                    </a:r>
                    <a:endParaRPr lang="ru-RU" sz="1000" i="1" dirty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000" i="0" dirty="0" smtClean="0">
                        <a:solidFill>
                          <a:sysClr val="windowText" lastClr="000000"/>
                        </a:solidFill>
                      </a:rPr>
                      <a:t>1,3</a:t>
                    </a:r>
                    <a:r>
                      <a:rPr lang="ru-RU" sz="1000" i="0" dirty="0" smtClean="0"/>
                      <a:t>%</a:t>
                    </a:r>
                    <a:endParaRPr lang="ru-RU" sz="1000" i="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486535317904155E-2"/>
                  <c:y val="9.4520239331992301E-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>
                        <a:solidFill>
                          <a:schemeClr val="accent1"/>
                        </a:solidFill>
                      </a:rPr>
                      <a:t> </a:t>
                    </a:r>
                    <a:r>
                      <a:rPr lang="ru-RU" sz="1000" i="1" dirty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Комплексное благоустройство городов и поселков</a:t>
                    </a:r>
                  </a:p>
                  <a:p>
                    <a:r>
                      <a:rPr lang="ru-RU" sz="1000" dirty="0" smtClean="0"/>
                      <a:t>7,9%</a:t>
                    </a:r>
                    <a:endParaRPr lang="ru-RU" sz="10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62643035360923"/>
                      <c:h val="0.1333218280774717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5483290326470525"/>
                  <c:y val="-9.7171237313755134E-3"/>
                </c:manualLayout>
              </c:layout>
              <c:tx>
                <c:rich>
                  <a:bodyPr/>
                  <a:lstStyle/>
                  <a:p>
                    <a:r>
                      <a:rPr lang="ru-RU" sz="1000" i="1" dirty="0" smtClean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Работа медицинских учреждений. Лечение и оказание медицинской помощи. Медицинская профилактика</a:t>
                    </a:r>
                  </a:p>
                  <a:p>
                    <a:r>
                      <a:rPr lang="ru-RU" sz="1000" i="1" baseline="0" dirty="0" smtClean="0">
                        <a:solidFill>
                          <a:sysClr val="windowText" lastClr="000000"/>
                        </a:solidFill>
                      </a:rPr>
                      <a:t>10,7</a:t>
                    </a:r>
                    <a:r>
                      <a:rPr lang="ru-RU" sz="1000" dirty="0" smtClean="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ru-RU" sz="1000" dirty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29588224813547"/>
                      <c:h val="0.1988261238452945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4.7195792214865889E-2"/>
                  <c:y val="-1.0426992350423339E-3"/>
                </c:manualLayout>
              </c:layout>
              <c:tx>
                <c:rich>
                  <a:bodyPr/>
                  <a:lstStyle/>
                  <a:p>
                    <a:r>
                      <a:rPr lang="ru-RU" sz="1000" i="1" dirty="0" smtClean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Переселение </a:t>
                    </a:r>
                    <a:r>
                      <a:rPr lang="ru-RU" sz="1000" i="1" dirty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из подвалов, бараков, общежитий, аварийного и ветхого жилья. Улучшение жилищных условий</a:t>
                    </a:r>
                    <a:r>
                      <a:rPr lang="ru-RU" sz="1000" i="1" dirty="0">
                        <a:solidFill>
                          <a:schemeClr val="accent1"/>
                        </a:solidFill>
                      </a:rPr>
                      <a:t>; </a:t>
                    </a:r>
                    <a:endParaRPr lang="ru-RU" sz="1000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000" dirty="0" smtClean="0"/>
                      <a:t>7,8%</a:t>
                    </a:r>
                    <a:endParaRPr lang="ru-RU" sz="10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84208814860027"/>
                      <c:h val="0.141967942843249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4.3408772045110122E-2"/>
                  <c:y val="4.3462917653539906E-2"/>
                </c:manualLayout>
              </c:layout>
              <c:tx>
                <c:rich>
                  <a:bodyPr/>
                  <a:lstStyle/>
                  <a:p>
                    <a:r>
                      <a:rPr lang="ru-RU" sz="1000" i="1" dirty="0" smtClean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Оплата </a:t>
                    </a:r>
                    <a:r>
                      <a:rPr lang="ru-RU" sz="1000" i="1" dirty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жилищно-коммунальных услуг. Тарифы и льготы</a:t>
                    </a:r>
                    <a:endParaRPr lang="ru-RU" sz="1000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000" dirty="0" smtClean="0"/>
                      <a:t> 1,1%</a:t>
                    </a:r>
                    <a:endParaRPr lang="ru-RU" sz="1000" dirty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54923749475823"/>
                      <c:h val="0.15219175124163245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413630725394463E-2"/>
                  <c:y val="-2.9271241224408599E-2"/>
                </c:manualLayout>
              </c:layout>
              <c:tx>
                <c:rich>
                  <a:bodyPr/>
                  <a:lstStyle/>
                  <a:p>
                    <a:fld id="{AA406290-79A6-43C4-9ECF-E8C537F0288D}" type="CATEGORYNAME">
                      <a:rPr lang="ru-RU" i="1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; </a:t>
                    </a:r>
                  </a:p>
                  <a:p>
                    <a:fld id="{8166FC8D-E64D-439B-82D2-575C4E97FFD5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 i="1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Санитарно-эпидемиологическое благополучие населения, социальная защита населения</a:t>
                    </a:r>
                    <a:endParaRPr lang="ru-RU" baseline="0"/>
                  </a:p>
                  <a:p>
                    <a:fld id="{36003FEB-16E7-49C8-B489-0FFD0C0A7EA2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Экологическая безопасность</c:v>
                </c:pt>
                <c:pt idx="1">
                  <c:v>Защита прав на землю, земельные споры</c:v>
                </c:pt>
                <c:pt idx="2">
                  <c:v>Комплексное благоустройство городов и поселков. </c:v>
                </c:pt>
                <c:pt idx="3">
                  <c:v>Работа медицинских учреждений. Лечение и оказание медицинской помощи. Медицинская профилактика</c:v>
                </c:pt>
                <c:pt idx="4">
                  <c:v>Переселение из подвалов, бараков, общежитий, аварийного и ветхого жилья. Улучшение жилищных условий</c:v>
                </c:pt>
                <c:pt idx="5">
                  <c:v>Оплата жилищно-коммунальных услуг. Тарифы и льготы</c:v>
                </c:pt>
                <c:pt idx="6">
                  <c:v>Условия развития и ведения предпринимательской деятельности</c:v>
                </c:pt>
                <c:pt idx="7">
                  <c:v>Санитарно-эпидемиологическое благополучие населения, социальная защита населения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10.8</c:v>
                </c:pt>
                <c:pt idx="1">
                  <c:v>1.3</c:v>
                </c:pt>
                <c:pt idx="2">
                  <c:v>7.9</c:v>
                </c:pt>
                <c:pt idx="3">
                  <c:v>10.7</c:v>
                </c:pt>
                <c:pt idx="4">
                  <c:v>7.8</c:v>
                </c:pt>
                <c:pt idx="5">
                  <c:v>1.1000000000000001</c:v>
                </c:pt>
                <c:pt idx="6">
                  <c:v>2.8</c:v>
                </c:pt>
                <c:pt idx="7">
                  <c:v>5.2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Лист1!$A$2:$A$9</c15:f>
                <c15:dlblRangeCache>
                  <c:ptCount val="8"/>
                  <c:pt idx="0">
                    <c:v>Экологическая безопасность</c:v>
                  </c:pt>
                  <c:pt idx="1">
                    <c:v>Защита прав на землю, земельные споры</c:v>
                  </c:pt>
                  <c:pt idx="2">
                    <c:v>Комплексное благоустройство городов и поселков. </c:v>
                  </c:pt>
                  <c:pt idx="3">
                    <c:v>Работа медицинских учреждений. Лечение и оказание медицинской помощи. Медицинская профилактика</c:v>
                  </c:pt>
                  <c:pt idx="4">
                    <c:v>Переселение из подвалов, бараков, общежитий, аварийного и ветхого жилья. Улучшение жилищных условий</c:v>
                  </c:pt>
                  <c:pt idx="5">
                    <c:v>Оплата жилищно-коммунальных услуг. Тарифы и льготы</c:v>
                  </c:pt>
                  <c:pt idx="6">
                    <c:v>Условия развития и ведения предпринимательской деятельности</c:v>
                  </c:pt>
                  <c:pt idx="7">
                    <c:v>Санитарно-эпидемиологическое благополучие населения, социальная защита населения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"/>
      </c:pieChart>
      <c:spPr>
        <a:effectLst>
          <a:glow rad="63500">
            <a:srgbClr val="C00000">
              <a:alpha val="40000"/>
            </a:srgbClr>
          </a:glow>
        </a:effectLst>
        <a:scene3d>
          <a:camera prst="orthographicFront"/>
          <a:lightRig rig="threePt" dir="t"/>
        </a:scene3d>
        <a:sp3d/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Трунова Анна Александровна</cp:lastModifiedBy>
  <cp:revision>2</cp:revision>
  <dcterms:created xsi:type="dcterms:W3CDTF">2021-02-04T01:24:00Z</dcterms:created>
  <dcterms:modified xsi:type="dcterms:W3CDTF">2021-02-04T01:24:00Z</dcterms:modified>
</cp:coreProperties>
</file>