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"/>
        <w:gridCol w:w="851"/>
        <w:gridCol w:w="4961"/>
        <w:gridCol w:w="3831"/>
      </w:tblGrid>
      <w:tr>
        <w:trPr>
          <w:trHeight w:hRule="atLeast" w:val="823"/>
        </w:trPr>
        <w:tc>
          <w:tcPr>
            <w:tcW w:type="dxa" w:w="992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ind/>
              <w:jc w:val="center"/>
            </w:pPr>
            <w:r>
              <w:t xml:space="preserve">Инвестиционный проект </w:t>
            </w:r>
          </w:p>
          <w:p w14:paraId="04000000">
            <w:pPr>
              <w:ind/>
              <w:jc w:val="center"/>
            </w:pPr>
            <w:r>
              <w:t xml:space="preserve">по созданию модульных некапитальных средств размещения </w:t>
            </w:r>
          </w:p>
          <w:p w14:paraId="05000000">
            <w:pPr>
              <w:ind/>
              <w:jc w:val="center"/>
            </w:pPr>
            <w:r>
              <w:t>на территории Камчатского края (далее также – проект)</w:t>
            </w:r>
          </w:p>
          <w:p w14:paraId="06000000">
            <w:pPr>
              <w:ind/>
              <w:jc w:val="center"/>
            </w:pPr>
          </w:p>
        </w:tc>
      </w:tr>
      <w:tr>
        <w:trPr>
          <w:trHeight w:hRule="atLeast" w:val="508"/>
        </w:trPr>
        <w:tc>
          <w:tcPr>
            <w:tcW w:type="dxa" w:w="9927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7000000">
            <w:pPr>
              <w:spacing w:after="160" w:line="264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</w:t>
            </w:r>
            <w:r>
              <w:rPr>
                <w:b w:val="1"/>
                <w:sz w:val="20"/>
              </w:rPr>
              <w:t>наименование проекта</w:t>
            </w:r>
            <w:r>
              <w:rPr>
                <w:b w:val="1"/>
                <w:sz w:val="20"/>
              </w:rPr>
              <w:t>)</w:t>
            </w:r>
          </w:p>
          <w:p w14:paraId="08000000">
            <w:pPr>
              <w:spacing w:after="160" w:line="264" w:lineRule="auto"/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spacing w:line="264" w:lineRule="auto"/>
              <w:ind w:right="-105"/>
              <w:jc w:val="both"/>
            </w:pPr>
            <w:r>
              <w:t xml:space="preserve">Дата __________        </w:t>
            </w:r>
          </w:p>
          <w:p w14:paraId="0A000000">
            <w:pPr>
              <w:spacing w:line="264" w:lineRule="auto"/>
              <w:ind w:right="-105"/>
              <w:jc w:val="both"/>
            </w:pPr>
            <w:r>
              <w:t xml:space="preserve">                                                                                       </w:t>
            </w:r>
          </w:p>
          <w:p w14:paraId="0B000000">
            <w:pPr>
              <w:spacing w:line="264" w:lineRule="auto"/>
              <w:ind w:right="-105"/>
              <w:jc w:val="right"/>
            </w:pPr>
            <w:r>
              <w:t>Таблица 1</w:t>
            </w:r>
          </w:p>
        </w:tc>
      </w:tr>
    </w:tbl>
    <w:p w14:paraId="0C000000">
      <w:pPr>
        <w:rPr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6"/>
        <w:gridCol w:w="5541"/>
        <w:gridCol w:w="3820"/>
      </w:tblGrid>
      <w:tr>
        <w:trPr>
          <w:trHeight w:hRule="atLeast" w:val="236"/>
          <w:tblHeader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показатели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  <w:tr>
        <w:trPr>
          <w:trHeight w:hRule="atLeast" w:val="236"/>
          <w:tblHeader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76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об инвесторе (юридическом лице или индивидуальном предпринимателе)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48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Телефон/факс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руководителя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Действующего на основании: 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экономической деятельности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3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0" w:left="4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вид экономической </w:t>
            </w:r>
          </w:p>
          <w:p w14:paraId="35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проекта 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проекта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модульных некапитальных средств размещения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70"/>
        </w:trP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0" w:left="4"/>
              <w:jc w:val="left"/>
              <w:rPr>
                <w:rStyle w:val="Style_3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Количество номеров</w:t>
            </w:r>
            <w:r>
              <w:rPr>
                <w:rStyle w:val="Style_4_ch"/>
                <w:rFonts w:ascii="Times New Roman" w:hAnsi="Times New Roman"/>
                <w:sz w:val="24"/>
              </w:rPr>
              <w:endnoteReference w:id="1"/>
            </w:r>
            <w:r>
              <w:rPr>
                <w:rStyle w:val="Style_3_ch"/>
                <w:rFonts w:ascii="Times New Roman" w:hAnsi="Times New Roman"/>
                <w:sz w:val="24"/>
              </w:rPr>
              <w:t>*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в </w:t>
            </w:r>
            <w:r>
              <w:rPr>
                <w:rStyle w:val="Style_3_ch"/>
                <w:rFonts w:ascii="Times New Roman" w:hAnsi="Times New Roman"/>
                <w:sz w:val="24"/>
              </w:rPr>
              <w:t>модульных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некапитальных средствах размещения*</w:t>
            </w:r>
            <w:r>
              <w:rPr>
                <w:rStyle w:val="Style_3_ch"/>
                <w:rFonts w:ascii="Times New Roman" w:hAnsi="Times New Roman"/>
                <w:sz w:val="24"/>
              </w:rPr>
              <w:t>*</w:t>
            </w:r>
            <w:r>
              <w:rPr>
                <w:rStyle w:val="Style_3_ch"/>
                <w:rFonts w:ascii="Times New Roman" w:hAnsi="Times New Roman"/>
                <w:sz w:val="24"/>
              </w:rPr>
              <w:t>, предполагаемых к созданию в рамках проекта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0" w:left="4"/>
              <w:jc w:val="left"/>
              <w:rPr>
                <w:rStyle w:val="Style_3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2025 году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0" w:left="4"/>
              <w:jc w:val="left"/>
              <w:rPr>
                <w:rStyle w:val="Style_3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2026 году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firstLine="0" w:left="4"/>
              <w:jc w:val="left"/>
              <w:rPr>
                <w:rStyle w:val="Style_3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в 2027 году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3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койко-мест в одном номере 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3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реализации проекта  на территории особой экономической зоны туристско-рекреационного типа</w:t>
            </w:r>
          </w:p>
          <w:p w14:paraId="4E000000">
            <w:pPr>
              <w:ind/>
              <w:jc w:val="left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(далее – ОЭЗ ТРТ)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(в случае выполнения условия – указать наименование ОЭЗ ТРТ) 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не </w:t>
            </w:r>
            <w:r>
              <w:rPr>
                <w:rFonts w:ascii="Times New Roman" w:hAnsi="Times New Roman"/>
                <w:sz w:val="24"/>
              </w:rPr>
              <w:t>входит на территорию</w:t>
            </w:r>
            <w:r>
              <w:rPr>
                <w:rFonts w:ascii="Times New Roman" w:hAnsi="Times New Roman"/>
                <w:sz w:val="24"/>
              </w:rPr>
              <w:t xml:space="preserve"> особой экономической зон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туристско-</w:t>
            </w:r>
            <w:r>
              <w:rPr>
                <w:rFonts w:ascii="Times New Roman" w:hAnsi="Times New Roman"/>
                <w:sz w:val="24"/>
              </w:rPr>
              <w:t>рекреационного типа</w:t>
            </w:r>
          </w:p>
        </w:tc>
      </w:tr>
      <w:tr>
        <w:trPr>
          <w:trHeight w:hRule="atLeast" w:val="688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земельном участке, на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отором планируется </w:t>
            </w:r>
            <w:r>
              <w:rPr>
                <w:rFonts w:ascii="Times New Roman" w:hAnsi="Times New Roman"/>
                <w:sz w:val="24"/>
              </w:rPr>
              <w:t xml:space="preserve">реализация проекта </w:t>
            </w:r>
          </w:p>
          <w:p w14:paraId="52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земельный участок):</w:t>
            </w:r>
          </w:p>
        </w:tc>
      </w:tr>
      <w:tr>
        <w:trPr>
          <w:trHeight w:hRule="atLeast" w:val="67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8.1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firstLine="0" w:left="4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line="240" w:lineRule="atLeast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8.2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4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Категория земельного участка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line="240" w:lineRule="atLeast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8.3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left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Вид разрешенного использования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line="240" w:lineRule="atLeast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8.4.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left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Описание месторасположения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line="240" w:lineRule="atLeast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91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подтверждающего </w:t>
            </w:r>
          </w:p>
          <w:p w14:paraId="61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ис</w:t>
            </w:r>
            <w:r>
              <w:rPr>
                <w:rFonts w:ascii="Times New Roman" w:hAnsi="Times New Roman"/>
                <w:sz w:val="24"/>
              </w:rPr>
              <w:t xml:space="preserve">пользования земельного участка </w:t>
            </w:r>
            <w:r>
              <w:rPr>
                <w:rFonts w:ascii="Times New Roman" w:hAnsi="Times New Roman"/>
                <w:i w:val="1"/>
                <w:sz w:val="24"/>
              </w:rPr>
              <w:t>(копия документа прилагается)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1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 w:firstLine="0" w:left="4"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Сведения о наличии на </w:t>
            </w:r>
            <w:r>
              <w:rPr>
                <w:rStyle w:val="Style_3_ch"/>
                <w:rFonts w:ascii="Times New Roman" w:hAnsi="Times New Roman"/>
                <w:sz w:val="24"/>
              </w:rPr>
              <w:t>земельном участке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и прилегающих к нему земельных участках </w:t>
            </w:r>
            <w:r>
              <w:rPr>
                <w:rStyle w:val="Style_3_ch"/>
                <w:rFonts w:ascii="Times New Roman" w:hAnsi="Times New Roman"/>
                <w:sz w:val="24"/>
              </w:rPr>
              <w:t>объектов водоснабжения и водоотведения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(включая автономные)</w:t>
            </w:r>
            <w:r>
              <w:rPr>
                <w:rStyle w:val="Style_3_ch"/>
                <w:rFonts w:ascii="Times New Roman" w:hAnsi="Times New Roman"/>
                <w:sz w:val="24"/>
              </w:rPr>
              <w:t>, связи, энергоснабжения (в том числе электроснабжения, газоснабжения, теплоснабжения)</w:t>
            </w:r>
            <w:r>
              <w:rPr>
                <w:rStyle w:val="Style_3_ch"/>
                <w:rFonts w:ascii="Times New Roman" w:hAnsi="Times New Roman"/>
                <w:sz w:val="24"/>
              </w:rPr>
              <w:t>, подъездных автомобильных дорогах</w:t>
            </w:r>
            <w:r>
              <w:rPr>
                <w:rStyle w:val="Style_3_ch"/>
                <w:rFonts w:ascii="Times New Roman" w:hAnsi="Times New Roman"/>
                <w:i w:val="1"/>
                <w:sz w:val="24"/>
              </w:rPr>
              <w:t xml:space="preserve"> (при наличии </w:t>
            </w:r>
            <w:r>
              <w:rPr>
                <w:rFonts w:ascii="Times New Roman" w:hAnsi="Times New Roman"/>
                <w:i w:val="1"/>
                <w:sz w:val="24"/>
              </w:rPr>
              <w:t>копия документа прилагается)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16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0" w:left="4"/>
              <w:jc w:val="left"/>
              <w:rPr>
                <w:rStyle w:val="Style_3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Сведения о наличии на земельном участке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 прилегающих к нему земельных участках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объектов туристической инфраструктуры (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объектов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общественного питания, туристского показа и посещения, торговли </w:t>
            </w:r>
            <w:r>
              <w:rPr>
                <w:rFonts w:ascii="Times New Roman" w:hAnsi="Times New Roman"/>
                <w:color w:val="000000"/>
                <w:sz w:val="24"/>
              </w:rPr>
              <w:t>продовольственными товарами, сувенирами, а также изделиями народных художественных промыслов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относящихся </w:t>
            </w:r>
            <w:r>
              <w:rPr>
                <w:rStyle w:val="Style_3_ch"/>
                <w:rFonts w:ascii="Times New Roman" w:hAnsi="Times New Roman"/>
                <w:sz w:val="24"/>
              </w:rPr>
              <w:br/>
            </w:r>
            <w:r>
              <w:rPr>
                <w:rStyle w:val="Style_3_ch"/>
                <w:rFonts w:ascii="Times New Roman" w:hAnsi="Times New Roman"/>
                <w:sz w:val="24"/>
              </w:rPr>
              <w:t>к организациям, осуществляющим деятельность в соответствии</w:t>
            </w:r>
            <w:r>
              <w:rPr>
                <w:rStyle w:val="Style_3_ch"/>
                <w:rFonts w:ascii="Times New Roman" w:hAnsi="Times New Roman"/>
                <w:sz w:val="24"/>
              </w:rPr>
              <w:br/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деятельности)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(при наличии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копия документа прилагается)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3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left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реализации проекта на особо охраняемой природной территории (далее – ООПТ)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(при выполнении условия - указать наименование ООПТ, а также реквизиты нормативного правового акта, утверждающего решение об установлении ООПТ)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29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реализации проекта в месте бытования народного художественного промысла (</w:t>
            </w:r>
            <w:r>
              <w:rPr>
                <w:rFonts w:ascii="Times New Roman" w:hAnsi="Times New Roman"/>
                <w:b w:val="0"/>
                <w:i w:val="1"/>
                <w:caps w:val="0"/>
                <w:color w:val="000000"/>
                <w:spacing w:val="-4"/>
                <w:sz w:val="24"/>
              </w:rPr>
              <w:t>постановление Правительства Камчатского края от 06.12.2016 № 474-П «Об утверждении Перечня мест традиционного бытования народных художественных промыслов в Камчатском крае</w:t>
            </w:r>
            <w:r>
              <w:rPr>
                <w:rFonts w:ascii="Times New Roman" w:hAnsi="Times New Roman"/>
                <w:b w:val="0"/>
                <w:i w:val="1"/>
                <w:caps w:val="0"/>
                <w:color w:val="000000"/>
                <w:spacing w:val="-4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 выполнении условия – указать наименование места бытования народного художественного промысла</w:t>
            </w:r>
          </w:p>
          <w:p w14:paraId="70000000">
            <w:pPr>
              <w:spacing w:line="240" w:lineRule="atLeast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rPr>
          <w:trHeight w:hRule="atLeast" w:val="705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 w:firstLine="0" w:left="4"/>
              <w:jc w:val="left"/>
              <w:rPr>
                <w:rStyle w:val="Style_3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Материал, из которого планируется создание модульных некапитальных средств размещения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1"/>
        </w:trP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проекта***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15"/>
        </w:trP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потребности в средствах субсидии на реализацию мероприятий, в том числе (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4"/>
              </w:rPr>
              <w:t>):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собственных средств на реализацию  проекта (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4"/>
              </w:rPr>
              <w:t>):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3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одного модульного </w:t>
            </w:r>
          </w:p>
          <w:p w14:paraId="91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некапитального средства размещения, </w:t>
            </w:r>
          </w:p>
          <w:p w14:paraId="92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включающая в себя стоимость по его </w:t>
            </w:r>
          </w:p>
          <w:p w14:paraId="93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приобретению и монтажу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7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мест:</w:t>
            </w:r>
          </w:p>
        </w:tc>
      </w:tr>
      <w:tr>
        <w:trPr>
          <w:trHeight w:hRule="atLeast" w:val="363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 до реализации проекта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</w:t>
            </w:r>
          </w:p>
        </w:tc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firstLine="0"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Планируемое создание новых рабочих мест по результатам реализации проекта</w:t>
            </w:r>
          </w:p>
        </w:tc>
        <w:tc>
          <w:tcPr>
            <w:tcW w:type="dxa" w:w="3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D000000">
      <w:pPr>
        <w:widowControl w:val="0"/>
        <w:ind w:firstLine="540" w:left="0"/>
        <w:jc w:val="both"/>
      </w:pPr>
    </w:p>
    <w:p w14:paraId="9E000000">
      <w:pPr>
        <w:widowControl w:val="0"/>
        <w:ind w:firstLine="709" w:left="0"/>
        <w:jc w:val="both"/>
      </w:pPr>
      <w:r>
        <w:t xml:space="preserve">1. Описание проекта: </w:t>
      </w:r>
    </w:p>
    <w:p w14:paraId="9F000000">
      <w:pPr>
        <w:widowControl w:val="0"/>
        <w:ind w:firstLine="709" w:left="0"/>
        <w:jc w:val="both"/>
      </w:pPr>
      <w:r>
        <w:t xml:space="preserve">1.1. </w:t>
      </w:r>
      <w:r>
        <w:t>описание проекта с указанием наличия взаимосвязи с туристскими маршрутами, объектами показа и иными точками притяжения туристов;</w:t>
      </w:r>
    </w:p>
    <w:p w14:paraId="A0000000">
      <w:pPr>
        <w:widowControl w:val="0"/>
        <w:ind w:firstLine="709" w:left="0"/>
        <w:jc w:val="both"/>
      </w:pPr>
      <w:r>
        <w:t>1.2.</w:t>
      </w:r>
      <w:r>
        <w:t xml:space="preserve"> описание комплекса мероприятий по созданию модульных некапитальных средств размещения, а также обеспечение их водоснабжением и </w:t>
      </w:r>
      <w:r>
        <w:t>водоотведением, связью, энергоснабжением (в том числе электроснабжением, газоснабжением, теплоснабжением), подъездными путями,</w:t>
      </w:r>
      <w:r>
        <w:t xml:space="preserve"> благоустройство прилегающей территории</w:t>
      </w:r>
      <w:r>
        <w:t>;</w:t>
      </w:r>
    </w:p>
    <w:p w14:paraId="A1000000">
      <w:pPr>
        <w:ind w:firstLine="709" w:left="0"/>
        <w:jc w:val="both"/>
        <w:outlineLvl w:val="0"/>
      </w:pPr>
      <w:r>
        <w:t>1.3</w:t>
      </w:r>
      <w:r>
        <w:t>. описание стратегии продвижения проекта;</w:t>
      </w:r>
    </w:p>
    <w:p w14:paraId="A2000000">
      <w:pPr>
        <w:widowControl w:val="0"/>
        <w:ind w:firstLine="709" w:left="0"/>
        <w:jc w:val="both"/>
        <w:rPr>
          <w:i w:val="0"/>
          <w:sz w:val="28"/>
        </w:rPr>
      </w:pPr>
      <w:r>
        <w:t>2</w:t>
      </w:r>
      <w:r>
        <w:rPr>
          <w:i w:val="0"/>
          <w:sz w:val="28"/>
        </w:rPr>
        <w:t>. Информация об опыте</w:t>
      </w:r>
      <w:r>
        <w:rPr>
          <w:rFonts w:ascii="Times New Roman" w:hAnsi="Times New Roman"/>
          <w:i w:val="0"/>
          <w:color w:val="000000"/>
          <w:sz w:val="28"/>
        </w:rPr>
        <w:t xml:space="preserve"> инвестора, в реализации проектов по созданию модульных некапитальных средств размещения </w:t>
      </w:r>
      <w:r>
        <w:rPr>
          <w:rFonts w:ascii="Times New Roman" w:hAnsi="Times New Roman"/>
          <w:i w:val="1"/>
          <w:color w:val="000000"/>
          <w:sz w:val="28"/>
        </w:rPr>
        <w:t>(при наличии указать: наименования реализованных инвестором проектов по созданию модульных некапитальных средств размещения, их местоположение, а также плановое и фактическое количество введенных в эксплуатацию номеров в проектах).</w:t>
      </w:r>
    </w:p>
    <w:p w14:paraId="A3000000">
      <w:pPr>
        <w:widowControl w:val="0"/>
        <w:ind w:firstLine="709" w:left="0"/>
        <w:jc w:val="both"/>
      </w:pPr>
    </w:p>
    <w:p w14:paraId="A4000000">
      <w:pPr>
        <w:widowControl w:val="0"/>
        <w:ind w:firstLine="709" w:left="0"/>
        <w:jc w:val="both"/>
      </w:pPr>
    </w:p>
    <w:p w14:paraId="A5000000">
      <w:pPr>
        <w:widowControl w:val="0"/>
        <w:ind w:firstLine="709" w:left="0"/>
        <w:jc w:val="both"/>
      </w:pPr>
      <w:r>
        <w:rPr>
          <w:i w:val="0"/>
          <w:sz w:val="28"/>
        </w:rPr>
        <w:t xml:space="preserve">3. </w:t>
      </w:r>
      <w:r>
        <w:rPr>
          <w:i w:val="0"/>
          <w:sz w:val="28"/>
        </w:rPr>
        <w:t>Календарный план реали</w:t>
      </w:r>
      <w:r>
        <w:t>зации проекта:</w:t>
      </w:r>
    </w:p>
    <w:p w14:paraId="A6000000">
      <w:pPr>
        <w:widowControl w:val="0"/>
        <w:ind w:firstLine="540" w:left="0"/>
        <w:jc w:val="right"/>
      </w:pPr>
      <w:r>
        <w:t xml:space="preserve">     </w:t>
      </w:r>
      <w:r>
        <w:t>Таблица 3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1790"/>
        <w:gridCol w:w="1647"/>
        <w:gridCol w:w="1647"/>
        <w:gridCol w:w="1647"/>
        <w:gridCol w:w="262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</w:pPr>
            <w:r>
              <w:t>Решаемая задача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</w:pPr>
            <w:r>
              <w:t>Мероприятие/мероприятия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</w:pPr>
            <w:r>
              <w:t>Дата начала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</w:pPr>
            <w:r>
              <w:t>Дата завершения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</w:pPr>
            <w:r>
              <w:t>Ожидаемые итоги</w:t>
            </w:r>
          </w:p>
        </w:tc>
      </w:tr>
    </w:tbl>
    <w:p w14:paraId="AD000000">
      <w:pPr>
        <w:rPr>
          <w:sz w:val="2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1790"/>
        <w:gridCol w:w="1647"/>
        <w:gridCol w:w="1647"/>
        <w:gridCol w:w="1647"/>
        <w:gridCol w:w="262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</w:pPr>
            <w:r>
              <w:t>6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</w:pPr>
            <w:r>
              <w:t>–</w:t>
            </w:r>
          </w:p>
        </w:tc>
      </w:tr>
      <w:tr>
        <w:trPr>
          <w:trHeight w:hRule="atLeast" w:val="7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center"/>
            </w:pPr>
            <w:r>
              <w:t>–</w:t>
            </w:r>
          </w:p>
        </w:tc>
      </w:tr>
    </w:tbl>
    <w:p w14:paraId="C6000000">
      <w:pPr>
        <w:widowControl w:val="0"/>
        <w:ind w:firstLine="709" w:left="0"/>
        <w:jc w:val="both"/>
      </w:pPr>
      <w:bookmarkStart w:id="1" w:name="2et92p0"/>
      <w:bookmarkEnd w:id="1"/>
    </w:p>
    <w:p w14:paraId="C7000000">
      <w:pPr>
        <w:widowControl w:val="0"/>
        <w:ind w:firstLine="709" w:left="0"/>
        <w:jc w:val="both"/>
      </w:pPr>
      <w:r>
        <w:t>4. Необходимая, по мнению заявителя, дополнительная информация</w:t>
      </w:r>
    </w:p>
    <w:p w14:paraId="C8000000">
      <w:pPr>
        <w:widowControl w:val="0"/>
        <w:ind w:firstLine="709" w:left="0"/>
        <w:jc w:val="both"/>
        <w:rPr>
          <w:i w:val="1"/>
        </w:rPr>
      </w:pPr>
      <w:r>
        <w:rPr>
          <w:i w:val="1"/>
        </w:rPr>
        <w:t>Примечание: информация в данном разделе является дополнительной (необязательной) и заполняется по усмотрению заявителя, в случае если заявитель считает нужным предоставить более полный пакет информации о проекте).</w:t>
      </w:r>
    </w:p>
    <w:p w14:paraId="C9000000">
      <w:pPr>
        <w:widowControl w:val="0"/>
        <w:ind w:firstLine="709" w:left="0"/>
        <w:jc w:val="both"/>
      </w:pPr>
      <w:r>
        <w:t xml:space="preserve">5. Приложения к проекту: </w:t>
      </w:r>
    </w:p>
    <w:p w14:paraId="CA000000">
      <w:pPr>
        <w:widowControl w:val="0"/>
        <w:ind w:firstLine="709" w:left="0"/>
        <w:jc w:val="both"/>
      </w:pPr>
      <w:r>
        <w:t>5.1 п</w:t>
      </w:r>
      <w:r>
        <w:t xml:space="preserve">роект сметы расходов; </w:t>
      </w:r>
    </w:p>
    <w:p w14:paraId="CB000000">
      <w:pPr>
        <w:widowControl w:val="0"/>
        <w:ind w:firstLine="709" w:left="0"/>
        <w:jc w:val="both"/>
      </w:pPr>
      <w:r>
        <w:t>5.2 г</w:t>
      </w:r>
      <w:r>
        <w:t>рафические материалы (фот</w:t>
      </w:r>
      <w:r>
        <w:t>о, эскизы, презентации и т.д.) (</w:t>
      </w:r>
      <w:r>
        <w:rPr>
          <w:i w:val="1"/>
        </w:rPr>
        <w:t>при наличии)</w:t>
      </w:r>
      <w:r>
        <w:t xml:space="preserve">; </w:t>
      </w:r>
    </w:p>
    <w:p w14:paraId="CC000000">
      <w:pPr>
        <w:widowControl w:val="0"/>
        <w:ind w:firstLine="709" w:left="0"/>
        <w:jc w:val="both"/>
      </w:pPr>
      <w:r>
        <w:t>5.3. копии документов, подтверждающих сведения, указанные в пункте 8.5, 9, 10</w:t>
      </w:r>
      <w:r>
        <w:t xml:space="preserve"> таблицы 1 настоящего проекта </w:t>
      </w:r>
      <w:r>
        <w:rPr>
          <w:i w:val="1"/>
          <w:sz w:val="28"/>
        </w:rPr>
        <w:t>(при наличии, обязательно прилагаются</w:t>
      </w:r>
      <w:r>
        <w:rPr>
          <w:i w:val="1"/>
          <w:sz w:val="28"/>
        </w:rPr>
        <w:t xml:space="preserve"> копии документов)</w:t>
      </w:r>
      <w:r>
        <w:t>;</w:t>
      </w:r>
    </w:p>
    <w:p w14:paraId="CD000000">
      <w:pPr>
        <w:widowControl w:val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обязательство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Федерации.</w:t>
      </w:r>
    </w:p>
    <w:p w14:paraId="CE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CF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D0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D1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D2000000">
      <w:pPr>
        <w:widowControl w:val="0"/>
        <w:ind w:firstLine="709" w:left="0"/>
        <w:jc w:val="both"/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832" w:footer="709" w:gutter="0" w:header="709" w:left="1134" w:right="567" w:top="709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  <w:endnote w:id="1">
    <w:p w14:paraId="D3000000">
      <w:pPr>
        <w:pStyle w:val="Style_18"/>
        <w:ind/>
        <w:jc w:val="both"/>
        <w:rPr>
          <w:sz w:val="24"/>
        </w:rPr>
      </w:pPr>
      <w:r>
        <w:rPr>
          <w:sz w:val="24"/>
          <w:vertAlign w:val="superscript"/>
        </w:rPr>
        <w:endnoteRef/>
      </w:r>
      <w:r>
        <w:rPr>
          <w:sz w:val="24"/>
        </w:rPr>
        <w:t xml:space="preserve">*- номер - </w:t>
      </w:r>
      <w:r>
        <w:rPr>
          <w:sz w:val="24"/>
        </w:rPr>
        <w:t>одна или несколько жилых комнат и (или) помещений, соединенных между собой и оснащенных индивидуальным</w:t>
      </w:r>
      <w:r>
        <w:rPr>
          <w:sz w:val="24"/>
        </w:rPr>
        <w:t xml:space="preserve"> туалетом, умывальником и душем;</w:t>
      </w:r>
    </w:p>
    <w:p w14:paraId="D4000000">
      <w:pPr>
        <w:pStyle w:val="Style_18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*- при создании </w:t>
      </w:r>
      <w:r>
        <w:rPr>
          <w:rFonts w:ascii="Times New Roman" w:hAnsi="Times New Roman"/>
          <w:b w:val="0"/>
          <w:i w:val="0"/>
          <w:sz w:val="24"/>
        </w:rPr>
        <w:t>более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>‎</w:t>
      </w:r>
      <w:r>
        <w:rPr>
          <w:rFonts w:ascii="Times New Roman" w:hAnsi="Times New Roman"/>
          <w:b w:val="0"/>
          <w:i w:val="0"/>
          <w:sz w:val="24"/>
        </w:rPr>
        <w:t>50 номеров в модульных некапитальных средствах размещения присваивается 2 балла.</w:t>
      </w:r>
    </w:p>
    <w:p w14:paraId="D5000000">
      <w:pPr>
        <w:pStyle w:val="Style_18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**</w:t>
      </w:r>
      <w:r>
        <w:rPr>
          <w:sz w:val="24"/>
        </w:rPr>
        <w:t xml:space="preserve">- модульное некапитальное средство размещения - быстровозводимая конструкция </w:t>
      </w:r>
      <w:r>
        <w:rPr>
          <w:sz w:val="24"/>
          <w:u w:val="single"/>
        </w:rPr>
        <w:t>заводского производства</w:t>
      </w:r>
      <w:r>
        <w:rPr>
          <w:sz w:val="24"/>
        </w:rPr>
        <w:t>, в том числе контейнерного типа, оборудованн</w:t>
      </w:r>
      <w:r>
        <w:rPr>
          <w:sz w:val="24"/>
        </w:rPr>
        <w:t>ая</w:t>
      </w:r>
      <w:r>
        <w:rPr>
          <w:sz w:val="24"/>
        </w:rPr>
        <w:t xml:space="preserve"> для круглогодичного комфортного и безопасного пребывания туристов и оснащенн</w:t>
      </w:r>
      <w:r>
        <w:rPr>
          <w:sz w:val="24"/>
        </w:rPr>
        <w:t>ая</w:t>
      </w:r>
      <w:r>
        <w:rPr>
          <w:sz w:val="24"/>
        </w:rPr>
        <w:t xml:space="preserve"> индивидуальным туалетом, умывальником, </w:t>
      </w:r>
      <w:r>
        <w:rPr>
          <w:spacing w:val="-4"/>
          <w:sz w:val="24"/>
        </w:rPr>
        <w:t xml:space="preserve">душем, </w:t>
      </w:r>
      <w:r>
        <w:rPr>
          <w:spacing w:val="-4"/>
          <w:sz w:val="24"/>
        </w:rPr>
        <w:t>обеспеченная водоснабжением, водоотведением, теплоснабжением, электроснабжением</w:t>
      </w:r>
      <w:r>
        <w:rPr>
          <w:spacing w:val="-4"/>
          <w:sz w:val="24"/>
        </w:rPr>
        <w:t xml:space="preserve">, </w:t>
      </w:r>
      <w:r>
        <w:rPr>
          <w:spacing w:val="-4"/>
          <w:sz w:val="24"/>
        </w:rPr>
        <w:t>а также имеющ</w:t>
      </w:r>
      <w:r>
        <w:rPr>
          <w:spacing w:val="-4"/>
          <w:sz w:val="24"/>
        </w:rPr>
        <w:t>ая общую площадь не менее 15 м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</w:rPr>
        <w:t>, за исключением</w:t>
      </w:r>
      <w:r>
        <w:rPr>
          <w:sz w:val="24"/>
        </w:rPr>
        <w:t xml:space="preserve"> площади санузла</w:t>
      </w:r>
      <w:r>
        <w:rPr>
          <w:sz w:val="24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Реализация инвестиционного проекта на территории Дальневосточного федерального округа и в границах муниципальных образований, относящихся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 районам Крайнего Севера и приравненным к ним местностям, допускается возведение модульного некапитального средства размещения незаводского производства</w:t>
      </w:r>
      <w:r>
        <w:rPr>
          <w:rFonts w:ascii="Times New Roman" w:hAnsi="Times New Roman"/>
          <w:sz w:val="24"/>
        </w:rPr>
        <w:t>$</w:t>
      </w:r>
    </w:p>
    <w:p w14:paraId="D6000000">
      <w:pPr>
        <w:pStyle w:val="Style_18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*** 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размер субсидии не может составлять более 1,5 млн. рублей на один номер (одна или несколько жилых комнат и (или) помещений, соединенных между собой и оснащенных индивидуальным туалетом, умывальником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 душем) в модульном некапитальном средстве размещения и более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50 процентов стоимости инвестиционного проекта</w:t>
      </w:r>
      <w:r>
        <w:rPr>
          <w:rFonts w:ascii="Times New Roman" w:hAnsi="Times New Roman"/>
          <w:sz w:val="24"/>
        </w:rPr>
        <w:t>, при этом субсидия может быть использования на приобретение и монтаж модульного  некапитального средства размещения.</w:t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endnote reference"/>
    <w:basedOn w:val="Style_8"/>
    <w:link w:val="Style_4_ch"/>
    <w:rPr>
      <w:vertAlign w:val="superscript"/>
    </w:rPr>
  </w:style>
  <w:style w:styleId="Style_4_ch" w:type="character">
    <w:name w:val="endnote reference"/>
    <w:basedOn w:val="Style_8_ch"/>
    <w:link w:val="Style_4"/>
    <w:rPr>
      <w:vertAlign w:val="superscript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8"/>
    </w:rPr>
  </w:style>
  <w:style w:styleId="Style_13_ch" w:type="character">
    <w:name w:val="Обычный1"/>
    <w:link w:val="Style_13"/>
    <w:rPr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Знак примечания1"/>
    <w:basedOn w:val="Style_14"/>
    <w:link w:val="Style_15_ch"/>
    <w:rPr>
      <w:sz w:val="16"/>
    </w:rPr>
  </w:style>
  <w:style w:styleId="Style_15_ch" w:type="character">
    <w:name w:val="Знак примечания1"/>
    <w:basedOn w:val="Style_14_ch"/>
    <w:link w:val="Style_15"/>
    <w:rPr>
      <w:sz w:val="16"/>
    </w:rPr>
  </w:style>
  <w:style w:styleId="Style_16" w:type="paragraph">
    <w:name w:val="annotation text"/>
    <w:basedOn w:val="Style_5"/>
    <w:link w:val="Style_16_ch"/>
    <w:pPr>
      <w:spacing w:after="160"/>
      <w:ind/>
    </w:pPr>
    <w:rPr>
      <w:rFonts w:asciiTheme="minorAscii" w:hAnsiTheme="minorHAnsi"/>
      <w:sz w:val="20"/>
    </w:rPr>
  </w:style>
  <w:style w:styleId="Style_16_ch" w:type="character">
    <w:name w:val="annotation text"/>
    <w:basedOn w:val="Style_5_ch"/>
    <w:link w:val="Style_16"/>
    <w:rPr>
      <w:rFonts w:asciiTheme="minorAscii" w:hAnsiTheme="minorHAnsi"/>
      <w:sz w:val="20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Endnote"/>
    <w:basedOn w:val="Style_5"/>
    <w:link w:val="Style_18_ch"/>
    <w:rPr>
      <w:sz w:val="20"/>
    </w:rPr>
  </w:style>
  <w:style w:styleId="Style_18_ch" w:type="character">
    <w:name w:val="Endnote"/>
    <w:basedOn w:val="Style_5_ch"/>
    <w:link w:val="Style_18"/>
    <w:rPr>
      <w:sz w:val="20"/>
    </w:rPr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3" w:type="paragraph">
    <w:name w:val="Hyperlink.0"/>
    <w:basedOn w:val="Style_10"/>
    <w:link w:val="Style_3_ch"/>
    <w:rPr>
      <w:sz w:val="28"/>
    </w:rPr>
  </w:style>
  <w:style w:styleId="Style_3_ch" w:type="character">
    <w:name w:val="Hyperlink.0"/>
    <w:basedOn w:val="Style_10_ch"/>
    <w:link w:val="Style_3"/>
    <w:rPr>
      <w:sz w:val="28"/>
    </w:rPr>
  </w:style>
  <w:style w:styleId="Style_21" w:type="paragraph">
    <w:name w:val="search_result"/>
    <w:basedOn w:val="Style_14"/>
    <w:link w:val="Style_21_ch"/>
  </w:style>
  <w:style w:styleId="Style_21_ch" w:type="character">
    <w:name w:val="search_result"/>
    <w:basedOn w:val="Style_14_ch"/>
    <w:link w:val="Style_21"/>
  </w:style>
  <w:style w:styleId="Style_22" w:type="paragraph">
    <w:name w:val="highlightsearch"/>
    <w:basedOn w:val="Style_14"/>
    <w:link w:val="Style_22_ch"/>
  </w:style>
  <w:style w:styleId="Style_22_ch" w:type="character">
    <w:name w:val="highlightsearch"/>
    <w:basedOn w:val="Style_14_ch"/>
    <w:link w:val="Style_22"/>
  </w:style>
  <w:style w:styleId="Style_23" w:type="paragraph">
    <w:name w:val="toc 3"/>
    <w:next w:val="Style_5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annotation reference"/>
    <w:basedOn w:val="Style_8"/>
    <w:link w:val="Style_24_ch"/>
    <w:rPr>
      <w:sz w:val="16"/>
    </w:rPr>
  </w:style>
  <w:style w:styleId="Style_24_ch" w:type="character">
    <w:name w:val="annotation reference"/>
    <w:basedOn w:val="Style_8_ch"/>
    <w:link w:val="Style_24"/>
    <w:rPr>
      <w:sz w:val="16"/>
    </w:rPr>
  </w:style>
  <w:style w:styleId="Style_25" w:type="paragraph">
    <w:name w:val="Замещающий текст1"/>
    <w:basedOn w:val="Style_14"/>
    <w:link w:val="Style_25_ch"/>
    <w:rPr>
      <w:color w:val="808080"/>
    </w:rPr>
  </w:style>
  <w:style w:styleId="Style_25_ch" w:type="character">
    <w:name w:val="Замещающий текст1"/>
    <w:basedOn w:val="Style_14_ch"/>
    <w:link w:val="Style_25"/>
    <w:rPr>
      <w:color w:val="808080"/>
    </w:rPr>
  </w:style>
  <w:style w:styleId="Style_26" w:type="paragraph">
    <w:name w:val="s_10"/>
    <w:basedOn w:val="Style_14"/>
    <w:link w:val="Style_26_ch"/>
  </w:style>
  <w:style w:styleId="Style_26_ch" w:type="character">
    <w:name w:val="s_10"/>
    <w:basedOn w:val="Style_14_ch"/>
    <w:link w:val="Style_26"/>
  </w:style>
  <w:style w:styleId="Style_27" w:type="paragraph">
    <w:name w:val="s_1"/>
    <w:basedOn w:val="Style_5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s_1"/>
    <w:basedOn w:val="Style_5_ch"/>
    <w:link w:val="Style_27"/>
    <w:rPr>
      <w:sz w:val="24"/>
    </w:rPr>
  </w:style>
  <w:style w:styleId="Style_28" w:type="paragraph">
    <w:name w:val="formattext"/>
    <w:basedOn w:val="Style_5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formattext"/>
    <w:basedOn w:val="Style_5_ch"/>
    <w:link w:val="Style_28"/>
    <w:rPr>
      <w:sz w:val="24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</w:style>
  <w:style w:styleId="Style_29_ch" w:type="character">
    <w:name w:val="List Paragraph"/>
    <w:basedOn w:val="Style_5_ch"/>
    <w:link w:val="Style_29"/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heading 5"/>
    <w:next w:val="Style_5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Комментарий"/>
    <w:basedOn w:val="Style_5"/>
    <w:next w:val="Style_5"/>
    <w:link w:val="Style_32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2_ch" w:type="character">
    <w:name w:val="Комментарий"/>
    <w:basedOn w:val="Style_5_ch"/>
    <w:link w:val="Style_32"/>
    <w:rPr>
      <w:rFonts w:ascii="Arial" w:hAnsi="Arial"/>
      <w:i w:val="1"/>
      <w:color w:val="800080"/>
      <w:sz w:val="20"/>
    </w:rPr>
  </w:style>
  <w:style w:styleId="Style_33" w:type="paragraph">
    <w:name w:val="heading 1"/>
    <w:next w:val="Style_5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5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Знак концевой сноски1"/>
    <w:link w:val="Style_38_ch"/>
    <w:rPr>
      <w:vertAlign w:val="superscript"/>
    </w:rPr>
  </w:style>
  <w:style w:styleId="Style_38_ch" w:type="character">
    <w:name w:val="Знак концевой сноски1"/>
    <w:link w:val="Style_38"/>
    <w:rPr>
      <w:vertAlign w:val="superscript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toc 9"/>
    <w:next w:val="Style_5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Balloon Text"/>
    <w:basedOn w:val="Style_5"/>
    <w:link w:val="Style_42_ch"/>
    <w:rPr>
      <w:rFonts w:ascii="Tahoma" w:hAnsi="Tahoma"/>
      <w:sz w:val="16"/>
    </w:rPr>
  </w:style>
  <w:style w:styleId="Style_42_ch" w:type="character">
    <w:name w:val="Balloon Text"/>
    <w:basedOn w:val="Style_5_ch"/>
    <w:link w:val="Style_42"/>
    <w:rPr>
      <w:rFonts w:ascii="Tahoma" w:hAnsi="Tahoma"/>
      <w:sz w:val="16"/>
    </w:rPr>
  </w:style>
  <w:style w:styleId="Style_43" w:type="paragraph">
    <w:name w:val="toc 8"/>
    <w:next w:val="Style_5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5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ConsPlusTitle"/>
    <w:link w:val="Style_45_ch"/>
    <w:pPr>
      <w:widowControl w:val="0"/>
      <w:ind/>
    </w:pPr>
    <w:rPr>
      <w:rFonts w:ascii="Arial" w:hAnsi="Arial"/>
      <w:b w:val="1"/>
    </w:rPr>
  </w:style>
  <w:style w:styleId="Style_45_ch" w:type="character">
    <w:name w:val="ConsPlusTitle"/>
    <w:link w:val="Style_45"/>
    <w:rPr>
      <w:rFonts w:ascii="Arial" w:hAnsi="Arial"/>
      <w:b w:val="1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Гипертекстовая ссылка"/>
    <w:link w:val="Style_48_ch"/>
    <w:rPr>
      <w:b w:val="1"/>
      <w:color w:val="008000"/>
      <w:u w:val="single"/>
    </w:rPr>
  </w:style>
  <w:style w:styleId="Style_48_ch" w:type="character">
    <w:name w:val="Гипертекстовая ссылка"/>
    <w:link w:val="Style_48"/>
    <w:rPr>
      <w:b w:val="1"/>
      <w:color w:val="008000"/>
      <w:u w:val="single"/>
    </w:rPr>
  </w:style>
  <w:style w:styleId="Style_49" w:type="paragraph">
    <w:name w:val="Title"/>
    <w:next w:val="Style_5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5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51" w:type="paragraph">
    <w:link w:val="Style_51_ch"/>
    <w:semiHidden w:val="1"/>
    <w:unhideWhenUsed w:val="1"/>
    <w:rPr>
      <w:sz w:val="28"/>
    </w:rPr>
  </w:style>
  <w:style w:styleId="Style_51_ch" w:type="character">
    <w:link w:val="Style_51"/>
    <w:semiHidden w:val="1"/>
    <w:unhideWhenUsed w:val="1"/>
    <w:rPr>
      <w:sz w:val="28"/>
    </w:rPr>
  </w:style>
  <w:style w:styleId="Style_52" w:type="paragraph">
    <w:name w:val="heading 2"/>
    <w:next w:val="Style_5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annotation subject"/>
    <w:basedOn w:val="Style_16"/>
    <w:next w:val="Style_16"/>
    <w:link w:val="Style_53_ch"/>
    <w:pPr>
      <w:spacing w:after="0"/>
      <w:ind/>
    </w:pPr>
    <w:rPr>
      <w:rFonts w:ascii="Times New Roman" w:hAnsi="Times New Roman"/>
      <w:b w:val="1"/>
    </w:rPr>
  </w:style>
  <w:style w:styleId="Style_53_ch" w:type="character">
    <w:name w:val="annotation subject"/>
    <w:basedOn w:val="Style_16_ch"/>
    <w:link w:val="Style_53"/>
    <w:rPr>
      <w:rFonts w:ascii="Times New Roman" w:hAnsi="Times New Roman"/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2025-01-15T00:47:09Z</dcterms:modified>
</cp:coreProperties>
</file>