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3</w:t>
      </w:r>
    </w:p>
    <w:p>
      <w:pPr>
        <w:pStyle w:val="Normal"/>
        <w:spacing w:lineRule="exact" w:line="283"/>
        <w:ind w:left="4962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300"/>
        <w:ind w:left="5102" w:right="0" w:hanging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>
      <w:pPr>
        <w:pStyle w:val="Normal"/>
        <w:spacing w:lineRule="exact" w:line="300"/>
        <w:ind w:left="5102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spacing w:lineRule="exact" w:line="300"/>
        <w:ind w:left="5102" w:right="0" w:hanging="0"/>
        <w:jc w:val="both"/>
        <w:rPr/>
      </w:pPr>
      <w:r>
        <w:rPr>
          <w:sz w:val="28"/>
        </w:rPr>
        <w:t>от</w:t>
      </w:r>
      <w:r>
        <w:rPr>
          <w:i/>
          <w:iCs/>
          <w:sz w:val="28"/>
        </w:rPr>
        <w:t xml:space="preserve">   </w:t>
      </w:r>
      <w:r>
        <w:rPr>
          <w:b w:val="false"/>
          <w:bCs w:val="false"/>
          <w:i w:val="false"/>
          <w:iCs w:val="false"/>
          <w:sz w:val="28"/>
          <w:u w:val="single"/>
        </w:rPr>
        <w:t>28.06.2024</w:t>
      </w:r>
      <w:r>
        <w:rPr>
          <w:sz w:val="28"/>
        </w:rPr>
        <w:t xml:space="preserve"> № </w:t>
      </w:r>
      <w:r>
        <w:rPr>
          <w:sz w:val="28"/>
          <w:u w:val="single"/>
        </w:rPr>
        <w:t>203-П</w:t>
      </w:r>
    </w:p>
    <w:p>
      <w:pPr>
        <w:pStyle w:val="ConsPlusTitle1"/>
        <w:widowControl/>
        <w:spacing w:lineRule="exact" w:line="300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Normal"/>
        <w:widowControl/>
        <w:spacing w:lineRule="exact" w:line="300" w:before="0" w:after="0"/>
        <w:ind w:left="0" w:right="0" w:hanging="0"/>
        <w:jc w:val="center"/>
        <w:rPr>
          <w:b w:val="false"/>
          <w:b w:val="false"/>
          <w:sz w:val="28"/>
        </w:rPr>
      </w:pPr>
      <w:r>
        <w:rPr>
          <w:b w:val="false"/>
          <w:sz w:val="28"/>
        </w:rPr>
        <w:t>Состав аукционной комиссии аукциона</w:t>
      </w:r>
    </w:p>
    <w:p>
      <w:pPr>
        <w:pStyle w:val="Normal"/>
        <w:widowControl/>
        <w:spacing w:lineRule="exact" w:line="300" w:before="0" w:after="0"/>
        <w:ind w:left="0" w:right="0" w:hanging="0"/>
        <w:jc w:val="center"/>
        <w:rPr/>
      </w:pPr>
      <w:r>
        <w:rPr>
          <w:b w:val="false"/>
          <w:sz w:val="28"/>
        </w:rPr>
        <w:t xml:space="preserve">на право пользования </w:t>
      </w:r>
      <w:r>
        <w:rPr>
          <w:b w:val="false"/>
          <w:color w:val="000000"/>
          <w:sz w:val="28"/>
        </w:rPr>
        <w:t>участком недр местного значения «Малый»</w:t>
      </w:r>
    </w:p>
    <w:p>
      <w:pPr>
        <w:pStyle w:val="Normal"/>
        <w:widowControl/>
        <w:spacing w:lineRule="exact" w:line="300" w:before="0" w:after="0"/>
        <w:ind w:left="0" w:right="0" w:hanging="0"/>
        <w:jc w:val="center"/>
        <w:rPr>
          <w:b w:val="false"/>
          <w:b w:val="false"/>
          <w:color w:val="000000"/>
          <w:sz w:val="28"/>
        </w:rPr>
      </w:pPr>
      <w:r>
        <w:rPr>
          <w:b w:val="false"/>
          <w:color w:val="000000"/>
          <w:sz w:val="28"/>
        </w:rPr>
        <w:t xml:space="preserve">с целью геологического изучения недр, разведки и добычи </w:t>
      </w:r>
    </w:p>
    <w:p>
      <w:pPr>
        <w:pStyle w:val="Normal"/>
        <w:widowControl/>
        <w:spacing w:lineRule="exact" w:line="300" w:before="0" w:after="0"/>
        <w:ind w:left="0" w:right="0" w:hanging="0"/>
        <w:jc w:val="center"/>
        <w:rPr>
          <w:b w:val="false"/>
          <w:b w:val="false"/>
          <w:color w:val="000000"/>
          <w:sz w:val="28"/>
        </w:rPr>
      </w:pPr>
      <w:r>
        <w:rPr>
          <w:b w:val="false"/>
          <w:color w:val="000000"/>
          <w:sz w:val="28"/>
        </w:rPr>
        <w:t xml:space="preserve">вулканических пород на строительный камень </w:t>
      </w:r>
    </w:p>
    <w:p>
      <w:pPr>
        <w:pStyle w:val="Normal"/>
        <w:widowControl/>
        <w:spacing w:lineRule="exact" w:line="300" w:before="0" w:after="0"/>
        <w:ind w:left="0" w:right="0" w:hanging="0"/>
        <w:jc w:val="center"/>
        <w:rPr>
          <w:b w:val="false"/>
          <w:b w:val="false"/>
          <w:sz w:val="28"/>
        </w:rPr>
      </w:pPr>
      <w:r>
        <w:rPr>
          <w:b w:val="false"/>
          <w:sz w:val="28"/>
        </w:rPr>
        <w:t>(далее – Аукционная комиссия)</w:t>
      </w:r>
    </w:p>
    <w:p>
      <w:pPr>
        <w:pStyle w:val="ConsPlusTitle1"/>
        <w:widowControl/>
        <w:spacing w:lineRule="exact" w:line="300"/>
        <w:jc w:val="center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tbl>
      <w:tblPr>
        <w:tblStyle w:val="Style_3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2"/>
        <w:gridCol w:w="412"/>
        <w:gridCol w:w="5832"/>
      </w:tblGrid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края, председатель Аукционной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Браун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Людмила Александровна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kern w:val="0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Себова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Светлана Викторовна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по регулированию водных отношений Министерства природных ресурсов и экологии Камчатского края,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Арнаутова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Алина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консультант отдела недропользования и горной промышленности Министерства природных ресурсов и экологии Камчатского края, член комиссии;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kern w:val="0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Бакалдин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Александр Сергеевич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инспектор по государственному контролю (надзору) управления государственного экологического надзора Министерства природных ресурсов и экологии Камчатского края,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852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Дронин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Владимирович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1659" w:hRule="atLeast"/>
        </w:trPr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Труфанов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Владислав Алексеевич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согласованию), член комиссии.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</w:tbl>
    <w:p>
      <w:pPr>
        <w:pStyle w:val="Normal"/>
        <w:ind w:left="0" w:right="0" w:hanging="0"/>
        <w:jc w:val="both"/>
        <w:rPr>
          <w:sz w:val="16"/>
        </w:rPr>
      </w:pPr>
      <w:r>
        <w:rPr/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>
    <w:name w:val="Заголовок таблицы"/>
    <w:basedOn w:val="Style10"/>
    <w:link w:val="14"/>
    <w:qFormat/>
    <w:rPr>
      <w:b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extbody">
    <w:name w:val="Text body"/>
    <w:qFormat/>
    <w:rPr/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List1">
    <w:name w:val="List1"/>
    <w:basedOn w:val="Textbody1"/>
    <w:qFormat/>
    <w:rPr/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Style10">
    <w:name w:val="Содержимое таблицы"/>
    <w:link w:val="13"/>
    <w:qFormat/>
    <w:rPr/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Style11">
    <w:name w:val="Заголовок"/>
    <w:link w:val="111"/>
    <w:qFormat/>
    <w:rPr>
      <w:rFonts w:ascii="Open Sans" w:hAnsi="Open Sans"/>
      <w:sz w:val="28"/>
    </w:rPr>
  </w:style>
  <w:style w:type="character" w:styleId="Textbody1">
    <w:name w:val="Text body1"/>
    <w:link w:val="Textbody2"/>
    <w:qFormat/>
    <w:rPr/>
  </w:style>
  <w:style w:type="character" w:styleId="Style12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Caption1">
    <w:name w:val="Caption1"/>
    <w:qFormat/>
    <w:rPr>
      <w:i/>
      <w:sz w:val="24"/>
    </w:rPr>
  </w:style>
  <w:style w:type="character" w:styleId="Style13">
    <w:name w:val="Колонтитул"/>
    <w:link w:val="16"/>
    <w:qFormat/>
    <w:rPr>
      <w:rFonts w:ascii="XO Thames" w:hAnsi="XO Thames"/>
      <w:color w:val="000000"/>
      <w:spacing w:val="0"/>
      <w:sz w:val="20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14">
    <w:name w:val="Указатель"/>
    <w:link w:val="112"/>
    <w:qFormat/>
    <w:rPr/>
  </w:style>
  <w:style w:type="character" w:styleId="Contents51">
    <w:name w:val="Contents 51"/>
    <w:link w:val="Contents52"/>
    <w:qFormat/>
    <w:rPr>
      <w:rFonts w:ascii="XO Thames" w:hAnsi="XO Thames"/>
      <w:sz w:val="28"/>
    </w:rPr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2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11">
    <w:name w:val="Заголовок1"/>
    <w:basedOn w:val="Normal"/>
    <w:next w:val="Style16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Style16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2">
    <w:name w:val="Указатель11"/>
    <w:basedOn w:val="Normal"/>
    <w:link w:val="Style14"/>
    <w:qFormat/>
    <w:pPr/>
    <w:rPr/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Содержимое таблицы1"/>
    <w:basedOn w:val="Normal"/>
    <w:link w:val="Style10"/>
    <w:qFormat/>
    <w:pPr>
      <w:widowControl w:val="false"/>
    </w:pPr>
    <w:rPr/>
  </w:style>
  <w:style w:type="paragraph" w:styleId="14">
    <w:name w:val="Заголовок таблицы1"/>
    <w:basedOn w:val="13"/>
    <w:link w:val="Style9"/>
    <w:qFormat/>
    <w:pPr>
      <w:jc w:val="center"/>
    </w:pPr>
    <w:rPr>
      <w:b/>
    </w:rPr>
  </w:style>
  <w:style w:type="paragraph" w:styleId="ConsPlusTitle1">
    <w:name w:val="ConsPlusTitle1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extbody2">
    <w:name w:val="Text body2"/>
    <w:link w:val="Textbody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5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Колонтитул1"/>
    <w:link w:val="Style13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default="1" w:styleId="Style_5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5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Application>LibreOffice/7.4.4.2$Linux_X86_64 LibreOffice_project/40$Build-2</Application>
  <AppVersion>15.0000</AppVersion>
  <Pages>1</Pages>
  <Words>174</Words>
  <Characters>1373</Characters>
  <CharactersWithSpaces>1522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2024-07-01T14:03:49Z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