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firstLine="709" w:left="0"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Памятка</w:t>
      </w:r>
    </w:p>
    <w:p w14:paraId="03000000">
      <w:pPr>
        <w:spacing w:after="0" w:line="240" w:lineRule="auto"/>
        <w:ind w:firstLine="709" w:left="0"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для участников</w:t>
      </w:r>
      <w:r>
        <w:rPr>
          <w:b w:val="1"/>
          <w:sz w:val="28"/>
        </w:rPr>
        <w:t xml:space="preserve"> конкурса «Лучшие пра</w:t>
      </w:r>
      <w:r>
        <w:rPr>
          <w:b w:val="1"/>
          <w:color w:val="000000"/>
          <w:sz w:val="28"/>
          <w:highlight w:val="white"/>
        </w:rPr>
        <w:t>ктики наставничества Камчатского края – 2024»</w:t>
      </w:r>
    </w:p>
    <w:p w14:paraId="04000000">
      <w:pPr>
        <w:spacing w:after="0" w:line="240" w:lineRule="auto"/>
        <w:ind w:firstLine="709" w:left="0"/>
        <w:jc w:val="center"/>
        <w:rPr>
          <w:b w:val="1"/>
          <w:color w:val="000000"/>
          <w:sz w:val="28"/>
          <w:highlight w:val="white"/>
        </w:rPr>
      </w:pPr>
    </w:p>
    <w:p w14:paraId="05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1 ШАГ</w:t>
      </w:r>
      <w:r>
        <w:rPr>
          <w:sz w:val="28"/>
        </w:rPr>
        <w:t>.</w:t>
      </w:r>
      <w:r>
        <w:rPr>
          <w:sz w:val="28"/>
        </w:rPr>
        <w:t xml:space="preserve"> Определиться, попадает ли Ваше предприятие (организация) в категорию потенциальных участников Конкурса, а также выбрать номинацию/специальную номинацию Конкурса.</w:t>
      </w:r>
    </w:p>
    <w:p w14:paraId="06000000">
      <w:pPr>
        <w:spacing w:after="0" w:line="240" w:lineRule="auto"/>
        <w:ind w:firstLine="709" w:left="0"/>
        <w:jc w:val="both"/>
        <w:rPr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а)</w:t>
      </w:r>
      <w:r>
        <w:rPr>
          <w:sz w:val="28"/>
        </w:rPr>
        <w:t xml:space="preserve"> в случае если Ваше предприятие является участником национального проекта «Производительность труда», то можете участвовать в номинациях: </w:t>
      </w:r>
    </w:p>
    <w:p w14:paraId="08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– </w:t>
      </w:r>
      <w:r>
        <w:rPr>
          <w:rFonts w:ascii="Times New Roman" w:hAnsi="Times New Roman"/>
          <w:b w:val="1"/>
          <w:sz w:val="28"/>
        </w:rPr>
        <w:t xml:space="preserve">«Прорывные технологии повышения производительности труда», </w:t>
      </w:r>
    </w:p>
    <w:p w14:paraId="09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– «Профессиональное развитие молодежи»,</w:t>
      </w:r>
    </w:p>
    <w:p w14:paraId="0A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– «Цифровые инновации на предприятии»;</w:t>
      </w:r>
    </w:p>
    <w:p w14:paraId="0B000000">
      <w:pPr>
        <w:spacing w:after="0" w:line="240" w:lineRule="auto"/>
        <w:ind w:firstLine="709" w:left="0"/>
        <w:jc w:val="both"/>
        <w:rPr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sz w:val="28"/>
        </w:rPr>
        <w:t xml:space="preserve">в случае если Ваша организация осуществляет один из следующих видов </w:t>
      </w:r>
      <w:r>
        <w:rPr>
          <w:rFonts w:ascii="Times New Roman" w:hAnsi="Times New Roman"/>
          <w:sz w:val="28"/>
        </w:rPr>
        <w:t>экономической деятельности в соответствии с Общероссийским классификатором видов экономической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ОКВЭД 2</w:t>
      </w:r>
      <w:r>
        <w:rPr>
          <w:rFonts w:ascii="Times New Roman" w:hAnsi="Times New Roman"/>
          <w:sz w:val="28"/>
        </w:rPr>
        <w:t>: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55. Деятельность по предоставлению мест для временного проживания;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56. Деятельность по предоставлению продуктов питания и напитков;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Деятельность туристических агентств и прочих организаций, предоставляющих услуги в сфере туризма;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90. Деятельность творческая, деятельность в области искусства и организации развлечений;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91. Деятельность библиотек, архивов, музеев и прочих объектов культуры;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93. Деятельность в области спорта, отдыха и развлечений.</w:t>
      </w:r>
    </w:p>
    <w:p w14:paraId="13000000">
      <w:pPr>
        <w:spacing w:after="0" w:line="240" w:lineRule="auto"/>
        <w:ind w:firstLine="709" w:left="0"/>
        <w:jc w:val="both"/>
        <w:rPr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b w:val="0"/>
          <w:sz w:val="28"/>
        </w:rPr>
        <w:t>то можете участвовать</w:t>
      </w:r>
      <w:r>
        <w:rPr>
          <w:rFonts w:ascii="Times New Roman" w:hAnsi="Times New Roman"/>
          <w:b w:val="1"/>
          <w:sz w:val="28"/>
        </w:rPr>
        <w:t xml:space="preserve"> в специальной номинации </w:t>
      </w:r>
      <w:r>
        <w:rPr>
          <w:b w:val="1"/>
          <w:sz w:val="28"/>
        </w:rPr>
        <w:t>«Наставничество в индустрии гостеприимства»;</w:t>
      </w:r>
    </w:p>
    <w:p w14:paraId="15000000">
      <w:pPr>
        <w:spacing w:after="0" w:line="240" w:lineRule="auto"/>
        <w:ind w:firstLine="709" w:left="0"/>
        <w:jc w:val="both"/>
        <w:rPr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color w:val="000000"/>
          <w:sz w:val="28"/>
        </w:rPr>
        <w:t>в случае если Ваше предприятие</w:t>
      </w:r>
      <w:r>
        <w:rPr>
          <w:rFonts w:ascii="Times New Roman" w:hAnsi="Times New Roman"/>
          <w:b w:val="0"/>
          <w:color w:val="000000"/>
          <w:sz w:val="28"/>
        </w:rPr>
        <w:t xml:space="preserve"> не является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участником национального </w:t>
      </w:r>
      <w:r>
        <w:rPr>
          <w:rFonts w:ascii="Times New Roman" w:hAnsi="Times New Roman"/>
          <w:b w:val="0"/>
          <w:i w:val="0"/>
          <w:color w:val="000000"/>
          <w:sz w:val="28"/>
        </w:rPr>
        <w:t>проекта «Производительность труда»</w:t>
      </w:r>
      <w:r>
        <w:rPr>
          <w:rFonts w:ascii="Times New Roman" w:hAnsi="Times New Roman"/>
          <w:sz w:val="28"/>
        </w:rPr>
        <w:t xml:space="preserve"> и осуществляет деятельность в отраслях экономики Российской Федерации, установленными </w:t>
      </w:r>
      <w:r>
        <w:rPr>
          <w:rFonts w:ascii="Times New Roman" w:hAnsi="Times New Roman"/>
          <w:sz w:val="28"/>
        </w:rPr>
        <w:t>разделом 6 паспорта «Производительность труда»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обрабатывающие производства (раздел C), 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группировок «Перегонка, очистка и смешивание спиртов» (группа 11.01), </w:t>
      </w:r>
      <w:r>
        <w:rPr>
          <w:rStyle w:val="Style_1_ch"/>
          <w:rFonts w:ascii="Times New Roman" w:hAnsi="Times New Roman"/>
          <w:sz w:val="28"/>
        </w:rPr>
        <w:t xml:space="preserve">«Производство вина из винограда» (группа 11.02), «Производство сидра и прочих плодовых вин» (группа 11.03), «Производство прочих </w:t>
      </w:r>
      <w:r>
        <w:rPr>
          <w:rStyle w:val="Style_1_ch"/>
          <w:rFonts w:ascii="Times New Roman" w:hAnsi="Times New Roman"/>
          <w:sz w:val="28"/>
        </w:rPr>
        <w:t xml:space="preserve">недистиллированных напитков из сброженных материалов» (группа 11.04), «Производство пива» (группа 11.05), «Производство солода» (группа </w:t>
      </w:r>
      <w:r>
        <w:rPr>
          <w:rStyle w:val="Style_1_ch"/>
          <w:rFonts w:ascii="Times New Roman" w:hAnsi="Times New Roman"/>
          <w:sz w:val="28"/>
        </w:rPr>
        <w:t>11.06), «Производство табака» (класс 12), «Производство кокса и нефтепродуктов» (класс 19);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– строительство (раздел F);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транспортировка и хранение (раздел H), 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группировок «Хранение и складирование нефти и продуктов ее переработки» (вид </w:t>
      </w:r>
      <w:r>
        <w:rPr>
          <w:rStyle w:val="Style_1_ch"/>
          <w:rFonts w:ascii="Times New Roman" w:hAnsi="Times New Roman"/>
          <w:sz w:val="28"/>
        </w:rPr>
        <w:t>52.10.21), «Хранение и складирование газа и продуктов его переработки» (вид 52.10.22 );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сельское, лесное хозяйство, охота, рыболовство и рыбоводство </w:t>
      </w:r>
      <w:r>
        <w:rPr/>
        <w:br/>
      </w:r>
      <w:r>
        <w:rPr>
          <w:rStyle w:val="Style_1_ch"/>
          <w:rFonts w:ascii="Times New Roman" w:hAnsi="Times New Roman"/>
          <w:sz w:val="28"/>
        </w:rPr>
        <w:t xml:space="preserve">(раздел A), 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группировки «Выращивание табака и махорки» (группа </w:t>
      </w:r>
      <w:r>
        <w:rPr>
          <w:rStyle w:val="Style_1_ch"/>
          <w:rFonts w:ascii="Times New Roman" w:hAnsi="Times New Roman"/>
          <w:sz w:val="28"/>
        </w:rPr>
        <w:t>01.15);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– торговля (раздел G, группы 46, 47 (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всего подкласса 46.1, группы 46.34 (кроме 46.34.1), группы 46.35, всей группы 46.71, группы </w:t>
      </w:r>
      <w:r>
        <w:rPr>
          <w:rStyle w:val="Style_1_ch"/>
          <w:rFonts w:ascii="Times New Roman" w:hAnsi="Times New Roman"/>
          <w:sz w:val="28"/>
        </w:rPr>
        <w:t xml:space="preserve">47.25 (кроме 47.25.2), группы 47.26, подкласса 47.3 (кроме 47.30.2), 47.78.6, 47.78.61 – 47.78.63, 47.78.7 – 47.78.9, всей группы 47.79, всего подкласса </w:t>
      </w:r>
      <w:r>
        <w:rPr/>
        <w:br/>
      </w:r>
      <w:r>
        <w:rPr>
          <w:rStyle w:val="Style_1_ch"/>
          <w:rFonts w:ascii="Times New Roman" w:hAnsi="Times New Roman"/>
          <w:sz w:val="28"/>
        </w:rPr>
        <w:t>47.8, 47.91.3, всей группы 47.99);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– туризм: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1) раздел I, класс 55 </w:t>
      </w:r>
      <w:r>
        <w:rPr>
          <w:rStyle w:val="Style_1_ch"/>
          <w:rFonts w:ascii="Times New Roman" w:hAnsi="Times New Roman"/>
          <w:b w:val="0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подкласса 55.9;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2) раздел N (класс 79 </w:t>
      </w:r>
      <w:r>
        <w:rPr>
          <w:rStyle w:val="Style_1_ch"/>
          <w:rFonts w:ascii="Times New Roman" w:hAnsi="Times New Roman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вида 79.90.22);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3) раздел Q </w:t>
      </w:r>
      <w:r>
        <w:rPr>
          <w:rStyle w:val="Style_1_ch"/>
          <w:rFonts w:ascii="Times New Roman" w:hAnsi="Times New Roman"/>
          <w:sz w:val="28"/>
        </w:rPr>
        <w:t>(подгруппа 86.90.4);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4) раздел </w:t>
      </w:r>
      <w:r>
        <w:rPr>
          <w:rStyle w:val="Style_1_ch"/>
          <w:rFonts w:ascii="Times New Roman" w:hAnsi="Times New Roman"/>
          <w:sz w:val="28"/>
        </w:rPr>
        <w:t>R</w:t>
      </w:r>
      <w:r>
        <w:rPr>
          <w:rStyle w:val="Style_1_ch"/>
          <w:rFonts w:ascii="Times New Roman" w:hAnsi="Times New Roman"/>
          <w:sz w:val="28"/>
        </w:rPr>
        <w:t xml:space="preserve"> (по</w:t>
      </w:r>
      <w:r>
        <w:rPr>
          <w:rStyle w:val="Style_1_ch"/>
          <w:rFonts w:ascii="Times New Roman" w:hAnsi="Times New Roman"/>
          <w:sz w:val="28"/>
        </w:rPr>
        <w:t xml:space="preserve">дкласс 93.2 </w:t>
      </w:r>
      <w:r>
        <w:rPr>
          <w:rStyle w:val="Style_1_ch"/>
          <w:rFonts w:ascii="Times New Roman" w:hAnsi="Times New Roman"/>
          <w:i w:val="1"/>
          <w:sz w:val="28"/>
        </w:rPr>
        <w:t>за исключ</w:t>
      </w:r>
      <w:r>
        <w:rPr>
          <w:rStyle w:val="Style_1_ch"/>
          <w:rFonts w:ascii="Times New Roman" w:hAnsi="Times New Roman"/>
          <w:i w:val="1"/>
          <w:sz w:val="28"/>
        </w:rPr>
        <w:t>ением</w:t>
      </w:r>
      <w:r>
        <w:rPr>
          <w:rStyle w:val="Style_1_ch"/>
          <w:rFonts w:ascii="Times New Roman" w:hAnsi="Times New Roman"/>
          <w:sz w:val="28"/>
        </w:rPr>
        <w:t xml:space="preserve"> по</w:t>
      </w:r>
      <w:r>
        <w:rPr>
          <w:rStyle w:val="Style_1_ch"/>
          <w:rFonts w:ascii="Times New Roman" w:hAnsi="Times New Roman"/>
          <w:sz w:val="28"/>
        </w:rPr>
        <w:t>дгрупп 93.29.2, 93.29.3, 93.29.4);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образование (раздел P, группы 85.21, 85.22, 85.30, 85.42.) и Деятельность профессиональная, научная, техническая (раздел M, класс 72 за </w:t>
      </w:r>
      <w:r>
        <w:rPr>
          <w:rStyle w:val="Style_1_ch"/>
          <w:rFonts w:ascii="Times New Roman" w:hAnsi="Times New Roman"/>
          <w:sz w:val="28"/>
        </w:rPr>
        <w:t>исключением подгруппы 72.19.1);</w:t>
      </w:r>
    </w:p>
    <w:p w14:paraId="2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обеспечение электрической энергией, газом и паром; кондиционирование воздуха (раздел D), за исключением подкласса</w:t>
      </w:r>
      <w:r>
        <w:rPr/>
        <w:br/>
      </w:r>
      <w:r>
        <w:rPr>
          <w:rFonts w:ascii="Times New Roman" w:hAnsi="Times New Roman"/>
          <w:sz w:val="28"/>
        </w:rPr>
        <w:t xml:space="preserve"> 35.2. «Производство и </w:t>
      </w:r>
      <w:r>
        <w:rPr>
          <w:rFonts w:ascii="Times New Roman" w:hAnsi="Times New Roman"/>
          <w:sz w:val="28"/>
        </w:rPr>
        <w:t>распределение газообразного топлива»;</w:t>
      </w:r>
    </w:p>
    <w:p w14:paraId="2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водоснабжение, водоотведение, организация сбора и утилизации отходов, деятельность по ликвидации загрязнений (раздел E), за исключением </w:t>
      </w:r>
      <w:r>
        <w:rPr>
          <w:rFonts w:ascii="Times New Roman" w:hAnsi="Times New Roman"/>
          <w:sz w:val="28"/>
        </w:rPr>
        <w:t>подгруппы 38.22.1 «Обработка и утилизация радиоактивных отходов»;</w:t>
      </w:r>
    </w:p>
    <w:p w14:paraId="2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торговля оптовая и розничная; ремонт автотранспортных средств и мотоциклов (раздел G, подгруппа 46.17.1 «Деятельность агентов по оптовой </w:t>
      </w:r>
      <w:r>
        <w:rPr>
          <w:rFonts w:ascii="Times New Roman" w:hAnsi="Times New Roman"/>
          <w:sz w:val="28"/>
        </w:rPr>
        <w:t>торговле пищевыми продуктами», вид 46.17.21 «Деятельность агентов по оптовой торговле безалкогольными напитками»);</w:t>
      </w:r>
    </w:p>
    <w:p w14:paraId="2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деятельность гостиниц и предприятий общественного питания</w:t>
      </w:r>
      <w:r>
        <w:rPr/>
        <w:br/>
      </w:r>
      <w:r>
        <w:rPr>
          <w:rFonts w:ascii="Times New Roman" w:hAnsi="Times New Roman"/>
          <w:sz w:val="28"/>
        </w:rPr>
        <w:t xml:space="preserve">(раздел I), за исключением видов 56.10.23 «Деятельность вагончиков, палаток по </w:t>
      </w:r>
      <w:r>
        <w:rPr>
          <w:rFonts w:ascii="Times New Roman" w:hAnsi="Times New Roman"/>
          <w:sz w:val="28"/>
        </w:rPr>
        <w:t>приготовлению и продаже мороженого» и 56.10.24 «Деятельность рыночных киосков и торговых палаток по приготовлению пищи»;</w:t>
      </w:r>
    </w:p>
    <w:p w14:paraId="2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деятельность по операциям с недвижимым имуществом (раздел L, за исключением группы 68.31 «Деятельность агентств недвижимости за </w:t>
      </w:r>
      <w:r>
        <w:rPr>
          <w:rFonts w:ascii="Times New Roman" w:hAnsi="Times New Roman"/>
          <w:sz w:val="28"/>
        </w:rPr>
        <w:t>вознаграждение или на договорной основе»);</w:t>
      </w:r>
    </w:p>
    <w:p w14:paraId="2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деятельность профессиональная, научная и техническая (раздел М, подкласс 71.1 «Деятельность в области архитектуры, инженерных изысканий и </w:t>
      </w:r>
      <w:r>
        <w:rPr>
          <w:rFonts w:ascii="Times New Roman" w:hAnsi="Times New Roman"/>
          <w:sz w:val="28"/>
        </w:rPr>
        <w:t xml:space="preserve">предоставление технических консультаций в этих областях», за исключением подгруппы 71.12.3 «Работы геолого-разведочные, геофизические и </w:t>
      </w:r>
      <w:r>
        <w:rPr>
          <w:rFonts w:ascii="Times New Roman" w:hAnsi="Times New Roman"/>
          <w:sz w:val="28"/>
        </w:rPr>
        <w:t xml:space="preserve">геохимические в области изучения недр и воспроизводства минерально-сырьевой базы»; класс 72 «Научные исследования и разработки», за </w:t>
      </w:r>
      <w:r>
        <w:rPr>
          <w:rFonts w:ascii="Times New Roman" w:hAnsi="Times New Roman"/>
          <w:sz w:val="28"/>
        </w:rPr>
        <w:t xml:space="preserve">исключением подгруппы 72.19.1 «Проведение фундаментальных исследований и научно-исследовательских и опытно-конструкторских работ в </w:t>
      </w:r>
      <w:r>
        <w:rPr>
          <w:rFonts w:ascii="Times New Roman" w:hAnsi="Times New Roman"/>
          <w:sz w:val="28"/>
        </w:rPr>
        <w:t>области использования атомной энергии и в области ядерной оружейной продукции»);</w:t>
      </w:r>
    </w:p>
    <w:p w14:paraId="2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деятельность административная и сопутствующие дополнительные услуги (раздел N, класс 79 «Деятельность туристических агентств и прочих </w:t>
      </w:r>
      <w:r>
        <w:rPr>
          <w:rFonts w:ascii="Times New Roman" w:hAnsi="Times New Roman"/>
          <w:sz w:val="28"/>
        </w:rPr>
        <w:t xml:space="preserve">организаций, предоставляющих услуги в сфере туризма», за исключением вида 79.90.22 «Деятельность самостоятельных экскурсоводов и гидов по </w:t>
      </w:r>
      <w:r>
        <w:rPr>
          <w:rFonts w:ascii="Times New Roman" w:hAnsi="Times New Roman"/>
          <w:sz w:val="28"/>
        </w:rPr>
        <w:t>предоставлению экскурсионных туристических услуг»; весь класс 81 «Деятельность по обслуживанию зданий и территорий»);</w:t>
      </w:r>
    </w:p>
    <w:p w14:paraId="2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деятельность в области здравоохранения и социальных услуг (раздел Q, класс 86 «Деятельность в области здравоохранения»),</w:t>
      </w:r>
    </w:p>
    <w:p w14:paraId="2A000000">
      <w:pPr>
        <w:spacing w:after="0"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то можете участвовать </w:t>
      </w:r>
      <w:r>
        <w:rPr>
          <w:rFonts w:ascii="Times New Roman" w:hAnsi="Times New Roman"/>
          <w:b w:val="1"/>
          <w:color w:val="000000"/>
          <w:sz w:val="28"/>
        </w:rPr>
        <w:t xml:space="preserve">в специальной номинации </w:t>
      </w:r>
      <w:r>
        <w:rPr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Лучшие практики наставничества по повышению производительности труда</w:t>
      </w:r>
      <w:r>
        <w:rPr>
          <w:b w:val="1"/>
          <w:color w:val="000000"/>
          <w:sz w:val="28"/>
        </w:rPr>
        <w:t>»</w:t>
      </w:r>
    </w:p>
    <w:p w14:paraId="2B000000">
      <w:pPr>
        <w:spacing w:after="0" w:line="240" w:lineRule="auto"/>
        <w:ind w:firstLine="709" w:left="0"/>
        <w:jc w:val="both"/>
        <w:rPr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2 ШАГ</w:t>
      </w:r>
      <w:r>
        <w:rPr>
          <w:b w:val="1"/>
          <w:sz w:val="28"/>
        </w:rPr>
        <w:t>.</w:t>
      </w:r>
      <w:r>
        <w:rPr>
          <w:sz w:val="28"/>
        </w:rPr>
        <w:t xml:space="preserve"> Заполнить форму заявки для участия, а также </w:t>
      </w:r>
      <w:r>
        <w:rPr>
          <w:rFonts w:ascii="Times New Roman" w:hAnsi="Times New Roman"/>
          <w:sz w:val="28"/>
        </w:rPr>
        <w:t>согласие на обработку персональных данных.</w:t>
      </w:r>
    </w:p>
    <w:p w14:paraId="2D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Формы </w:t>
      </w:r>
      <w:r>
        <w:rPr>
          <w:sz w:val="28"/>
        </w:rPr>
        <w:t xml:space="preserve">заявки для участия, </w:t>
      </w:r>
      <w:r>
        <w:rPr>
          <w:rFonts w:ascii="Times New Roman" w:hAnsi="Times New Roman"/>
          <w:sz w:val="28"/>
        </w:rPr>
        <w:t xml:space="preserve">согласие на обработку персональных данных, а также образец заполненной </w:t>
      </w:r>
      <w:r>
        <w:rPr>
          <w:sz w:val="28"/>
        </w:rPr>
        <w:t>заявки находится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"https://www.kamgov.ru/minecon/currentactivities/konkursy/lucsie-praktiki-nastavnicestva-kamcatskogo-kraa"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здесь</w:t>
      </w:r>
      <w:r>
        <w:rPr>
          <w:rStyle w:val="Style_2_ch"/>
          <w:sz w:val="28"/>
        </w:rPr>
        <w:fldChar w:fldCharType="end"/>
      </w:r>
      <w:r>
        <w:rPr>
          <w:sz w:val="28"/>
        </w:rPr>
        <w:t>.</w:t>
      </w:r>
    </w:p>
    <w:p w14:paraId="2E000000">
      <w:pPr>
        <w:spacing w:after="0" w:line="240" w:lineRule="auto"/>
        <w:ind w:firstLine="709" w:left="0"/>
        <w:jc w:val="both"/>
        <w:rPr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3 ШАГ</w:t>
      </w:r>
      <w:r>
        <w:rPr>
          <w:b w:val="1"/>
          <w:sz w:val="28"/>
        </w:rPr>
        <w:t xml:space="preserve">. </w:t>
      </w:r>
      <w:r>
        <w:rPr>
          <w:b w:val="0"/>
          <w:sz w:val="28"/>
        </w:rPr>
        <w:t>В период с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20</w:t>
      </w:r>
      <w:r>
        <w:rPr>
          <w:b w:val="0"/>
          <w:sz w:val="28"/>
        </w:rPr>
        <w:t xml:space="preserve"> апреля по 20 июня включительно </w:t>
      </w:r>
      <w:r>
        <w:rPr>
          <w:b w:val="0"/>
          <w:sz w:val="28"/>
        </w:rPr>
        <w:t>направить с</w:t>
      </w:r>
      <w:r>
        <w:rPr>
          <w:b w:val="0"/>
          <w:sz w:val="28"/>
        </w:rPr>
        <w:t>каны к</w:t>
      </w:r>
      <w:r>
        <w:rPr>
          <w:b w:val="0"/>
          <w:sz w:val="28"/>
        </w:rPr>
        <w:t>онкурсных материалов в Министерство экономического развития Камчатского края на электронный адрес</w:t>
      </w:r>
      <w:r>
        <w:rPr>
          <w:b w:val="0"/>
          <w:color w:val="000000"/>
          <w:sz w:val="28"/>
        </w:rPr>
        <w:t xml:space="preserve"> </w:t>
      </w:r>
      <w:r>
        <w:rPr>
          <w:rStyle w:val="Style_2_ch"/>
          <w:b w:val="0"/>
          <w:color w:val="000000"/>
          <w:sz w:val="28"/>
        </w:rPr>
        <w:fldChar w:fldCharType="begin"/>
      </w:r>
      <w:r>
        <w:rPr>
          <w:rStyle w:val="Style_2_ch"/>
          <w:b w:val="0"/>
          <w:color w:val="000000"/>
          <w:sz w:val="28"/>
        </w:rPr>
        <w:instrText>HYPERLINK "mailto:SamohinaOA@kamgov.ru"</w:instrText>
      </w:r>
      <w:r>
        <w:rPr>
          <w:rStyle w:val="Style_2_ch"/>
          <w:b w:val="0"/>
          <w:color w:val="000000"/>
          <w:sz w:val="28"/>
        </w:rPr>
        <w:fldChar w:fldCharType="separate"/>
      </w:r>
      <w:r>
        <w:rPr>
          <w:rStyle w:val="Style_2_ch"/>
          <w:b w:val="0"/>
          <w:color w:val="000000"/>
          <w:sz w:val="28"/>
        </w:rPr>
        <w:t>SamohinaOA@kamgov.ru</w:t>
      </w:r>
      <w:r>
        <w:rPr>
          <w:rStyle w:val="Style_2_ch"/>
          <w:b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b w:val="0"/>
          <w:sz w:val="28"/>
        </w:rPr>
      </w:pPr>
    </w:p>
    <w:p w14:paraId="31000000">
      <w:pPr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случае возникновения вопросов по Конкурсу (в том числе по заполнению заявки для участия) просим обращаться к специалисту Министерства, ответственному за проведение конкурса, Самохиной Олесе Алексеевне, телефон: + 7(4152</w:t>
      </w:r>
      <w:r>
        <w:rPr>
          <w:b w:val="0"/>
          <w:sz w:val="28"/>
        </w:rPr>
        <w:t xml:space="preserve">) 42-56-80 (доп. 502), +7 (900) 444-7390. 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llowedHyperlink"/>
    <w:basedOn w:val="Style_10"/>
    <w:link w:val="Style_9_ch"/>
    <w:rPr>
      <w:color w:themeColor="followedHyperlink" w:val="954F72"/>
      <w:u w:val="single"/>
    </w:rPr>
  </w:style>
  <w:style w:styleId="Style_9_ch" w:type="character">
    <w:name w:val="FollowedHyperlink"/>
    <w:basedOn w:val="Style_10_ch"/>
    <w:link w:val="Style_9"/>
    <w:rPr>
      <w:color w:themeColor="followedHyperlink" w:val="954F72"/>
      <w:u w:val="single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1"/>
    <w:link w:val="Style_13_ch"/>
    <w:uiPriority w:val="9"/>
    <w:qFormat/>
    <w:pPr>
      <w:spacing w:afterAutospacing="on" w:beforeAutospacing="on" w:line="240" w:lineRule="auto"/>
      <w:ind/>
      <w:outlineLvl w:val="0"/>
    </w:pPr>
    <w:rPr>
      <w:b w:val="1"/>
      <w:sz w:val="48"/>
    </w:rPr>
  </w:style>
  <w:style w:styleId="Style_13_ch" w:type="character">
    <w:name w:val="heading 1"/>
    <w:basedOn w:val="Style_1_ch"/>
    <w:link w:val="Style_13"/>
    <w:rPr>
      <w:b w:val="1"/>
      <w:sz w:val="48"/>
    </w:rPr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2024-04-11T01:21:01Z</dcterms:modified>
</cp:coreProperties>
</file>