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F8" w:rsidRDefault="009D62F8" w:rsidP="009D62F8">
      <w:pPr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D62F8" w:rsidRDefault="009D62F8" w:rsidP="009D62F8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9D62F8" w:rsidRDefault="009D62F8" w:rsidP="009D62F8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письму Министерства инвестиций, промышленности </w:t>
      </w:r>
    </w:p>
    <w:p w:rsidR="009D62F8" w:rsidRDefault="009D62F8" w:rsidP="009D62F8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предпринимательства Камчатского </w:t>
      </w:r>
      <w:r w:rsidRPr="00C17ADF">
        <w:rPr>
          <w:rFonts w:ascii="Times New Roman" w:eastAsia="Times New Roman" w:hAnsi="Times New Roman"/>
          <w:sz w:val="20"/>
          <w:szCs w:val="20"/>
          <w:lang w:eastAsia="ru-RU"/>
        </w:rPr>
        <w:t xml:space="preserve">края от </w:t>
      </w:r>
      <w:r w:rsidR="005D0B18">
        <w:rPr>
          <w:rFonts w:ascii="Times New Roman" w:hAnsi="Times New Roman" w:cs="Times New Roman"/>
          <w:sz w:val="20"/>
          <w:szCs w:val="20"/>
        </w:rPr>
        <w:t>26.01.2021</w:t>
      </w:r>
      <w:r w:rsidRPr="00C17ADF">
        <w:rPr>
          <w:rFonts w:ascii="Times New Roman" w:hAnsi="Times New Roman" w:cs="Times New Roman"/>
          <w:sz w:val="20"/>
          <w:szCs w:val="20"/>
        </w:rPr>
        <w:t xml:space="preserve"> № </w:t>
      </w:r>
      <w:r w:rsidR="005D0B18">
        <w:rPr>
          <w:rFonts w:ascii="Times New Roman" w:hAnsi="Times New Roman" w:cs="Times New Roman"/>
          <w:sz w:val="20"/>
          <w:szCs w:val="20"/>
        </w:rPr>
        <w:t>41.03-208</w:t>
      </w:r>
    </w:p>
    <w:p w:rsidR="009D62F8" w:rsidRDefault="009D62F8" w:rsidP="002C3FC0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C3FC0" w:rsidRPr="006D0BAC" w:rsidRDefault="002C3FC0" w:rsidP="002C3FC0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Рейтинг</w:t>
      </w:r>
    </w:p>
    <w:p w:rsidR="002C3FC0" w:rsidRPr="006D0BAC" w:rsidRDefault="002C3FC0" w:rsidP="002C3FC0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>качества осуществления оценки регулирующего воздействия и экспертизы</w:t>
      </w:r>
    </w:p>
    <w:p w:rsidR="002C3FC0" w:rsidRPr="006D0BAC" w:rsidRDefault="002C3FC0" w:rsidP="002C3FC0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>в городских округах и муниципальных районах Камчатского края за 20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20</w:t>
      </w: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</w:t>
      </w:r>
    </w:p>
    <w:p w:rsidR="00E65A79" w:rsidRDefault="00E65A79" w:rsidP="00E65A79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65A79" w:rsidRPr="006D0BAC" w:rsidRDefault="00E65A79" w:rsidP="00E65A79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Рейтинг проводится в целях </w:t>
      </w:r>
      <w:r w:rsidRPr="006D0BAC">
        <w:rPr>
          <w:rFonts w:ascii="Times New Roman" w:hAnsi="Times New Roman" w:cs="Times New Roman"/>
          <w:sz w:val="28"/>
          <w:szCs w:val="28"/>
        </w:rPr>
        <w:t>анализа текущего состояния и динамик</w:t>
      </w:r>
      <w:r>
        <w:rPr>
          <w:rFonts w:ascii="Times New Roman" w:hAnsi="Times New Roman" w:cs="Times New Roman"/>
          <w:sz w:val="28"/>
          <w:szCs w:val="28"/>
        </w:rPr>
        <w:t>и развития оценки регулирующего</w:t>
      </w:r>
      <w:r w:rsidRPr="006D0BA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(далее – ОРВ, НПА), выявления лучших практик внедрения процедуры ОРВ проектов муниципальных НПА и экспертизы муниципальных НПА в городских округах и муниципальных районах Камчатского края.</w:t>
      </w:r>
    </w:p>
    <w:p w:rsidR="002C3FC0" w:rsidRPr="000C6A2B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качества осуществления оценки регулирующего воздействия и экспертизы в городских округах и муниципальных районах Камчатского края (далее – Рейтинг) подготовлен </w:t>
      </w:r>
      <w:r>
        <w:rPr>
          <w:rFonts w:ascii="Times New Roman" w:hAnsi="Times New Roman" w:cs="Times New Roman"/>
          <w:spacing w:val="-10"/>
          <w:sz w:val="28"/>
          <w:szCs w:val="28"/>
        </w:rPr>
        <w:t>Министерством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инвестиций</w:t>
      </w:r>
      <w:r>
        <w:rPr>
          <w:rFonts w:ascii="Times New Roman" w:hAnsi="Times New Roman" w:cs="Times New Roman"/>
          <w:spacing w:val="-10"/>
          <w:sz w:val="28"/>
          <w:szCs w:val="28"/>
        </w:rPr>
        <w:t>, промышленности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и предпринимательства Камчатского края (далее – </w:t>
      </w:r>
      <w:r>
        <w:rPr>
          <w:rFonts w:ascii="Times New Roman" w:hAnsi="Times New Roman" w:cs="Times New Roman"/>
          <w:spacing w:val="-10"/>
          <w:sz w:val="28"/>
          <w:szCs w:val="28"/>
        </w:rPr>
        <w:t>Министерством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) в соответствии с Методикой формирования рейтинга качества осуществления оценки регулирующего воздействия и экспертизы в городских округах и муниципальных районах Камчатского края, утвержденной </w:t>
      </w:r>
      <w:r w:rsidR="003505D3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0C6A2B">
        <w:rPr>
          <w:rFonts w:ascii="Times New Roman" w:hAnsi="Times New Roman" w:cs="Times New Roman"/>
          <w:spacing w:val="-10"/>
          <w:sz w:val="28"/>
          <w:szCs w:val="28"/>
        </w:rPr>
        <w:t xml:space="preserve">риказом </w:t>
      </w:r>
      <w:r w:rsidRPr="000C6A2B">
        <w:rPr>
          <w:rFonts w:ascii="Times New Roman" w:hAnsi="Times New Roman" w:cs="Times New Roman"/>
          <w:sz w:val="28"/>
          <w:szCs w:val="28"/>
        </w:rPr>
        <w:t>Агентства инвестиций и предпринимательства Камчатского края от 14.01.2019 № 3-П</w:t>
      </w:r>
      <w:r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 w:rsidRPr="000C6A2B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2C3FC0" w:rsidRPr="006D0BAC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06.10.20103 № 131-ФЗ «Об общих принципах организации местного самоуправления в Российской Федерации» (далее – Федеральный закон № 131-ФЗ) и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 (далее – Закон Камчатского края № 503) институт ОРВ реализуется:</w:t>
      </w:r>
    </w:p>
    <w:p w:rsidR="002C3FC0" w:rsidRPr="006D0BAC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с 1 января 2015 года в Петропавловск-Камчатском городском округе;</w:t>
      </w:r>
    </w:p>
    <w:p w:rsidR="002C3FC0" w:rsidRPr="006D0BAC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с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муниципальных образованиях</w:t>
      </w:r>
      <w:r w:rsidR="003505D3">
        <w:rPr>
          <w:rFonts w:ascii="Times New Roman" w:hAnsi="Times New Roman" w:cs="Times New Roman"/>
          <w:sz w:val="28"/>
          <w:szCs w:val="28"/>
        </w:rPr>
        <w:t>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Вилючинском городском округе;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городском округе поселок «Палана»;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Алеутском муниципальном округе;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Быстринском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Елизовском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Карагинском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Мильковском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Олюторском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Пенжинском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Соболевском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lastRenderedPageBreak/>
        <w:t>Тигильском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Усть-Большерецком муниципальном районе;</w:t>
      </w:r>
    </w:p>
    <w:p w:rsidR="002C3FC0" w:rsidRPr="000C6A2B" w:rsidRDefault="002C3FC0" w:rsidP="002C3F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2B">
        <w:rPr>
          <w:rFonts w:ascii="Times New Roman" w:hAnsi="Times New Roman" w:cs="Times New Roman"/>
          <w:sz w:val="28"/>
          <w:szCs w:val="28"/>
        </w:rPr>
        <w:t>Усть-Камчатском муниципальном районе.</w:t>
      </w:r>
    </w:p>
    <w:p w:rsidR="002C3FC0" w:rsidRPr="006D0BAC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Для формирования Рейтинга используется система показателей, утвержденная Приложением 1 Методики. </w:t>
      </w:r>
    </w:p>
    <w:p w:rsidR="002C3FC0" w:rsidRDefault="002C3FC0" w:rsidP="002C3F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Система показателей включает в себя блоки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BAC">
        <w:rPr>
          <w:rFonts w:ascii="Times New Roman" w:hAnsi="Times New Roman" w:cs="Times New Roman"/>
          <w:sz w:val="28"/>
          <w:szCs w:val="28"/>
        </w:rPr>
        <w:t>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BA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 и «Независимая оценка».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году рейтинг проведен без учета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D0BAC">
        <w:rPr>
          <w:rFonts w:ascii="Times New Roman" w:hAnsi="Times New Roman" w:cs="Times New Roman"/>
          <w:sz w:val="28"/>
          <w:szCs w:val="28"/>
        </w:rPr>
        <w:t>показателей «Независимой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FC0" w:rsidRPr="006D0BAC" w:rsidRDefault="002C3FC0" w:rsidP="002C3F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году к группе «Высший уровень» относятся городские округа и муниципальные районы Камчатского края, набравшие от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«Хороший уровень» - от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«Удовлетворительный уровень» -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и к группе «Неудовлетворительный уровень» - от 0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 (без учета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пок</w:t>
      </w:r>
      <w:r w:rsidR="003505D3">
        <w:rPr>
          <w:rFonts w:ascii="Times New Roman" w:hAnsi="Times New Roman" w:cs="Times New Roman"/>
          <w:sz w:val="28"/>
          <w:szCs w:val="28"/>
        </w:rPr>
        <w:t>азателей «Независимой оценки»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сформирован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администрациями городских округов и муниципальных районов края по форме, установленной Приложением 3 Методики, а также анализа правового механизма и практического опыта реализации института ОРВ в муниципальных образованиях края, методического и организационного сопровождения процедуры ОРВ и экспертизы, мониторинга официальных сайтов.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76925">
        <w:rPr>
          <w:rFonts w:ascii="Times New Roman" w:hAnsi="Times New Roman" w:cs="Times New Roman"/>
          <w:spacing w:val="-10"/>
          <w:sz w:val="28"/>
          <w:szCs w:val="28"/>
        </w:rPr>
        <w:t xml:space="preserve">На показатели рейтинга влияют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такие </w:t>
      </w:r>
      <w:r w:rsidRPr="00076925">
        <w:rPr>
          <w:rFonts w:ascii="Times New Roman" w:hAnsi="Times New Roman" w:cs="Times New Roman"/>
          <w:spacing w:val="-10"/>
          <w:sz w:val="28"/>
          <w:szCs w:val="28"/>
        </w:rPr>
        <w:t>показатели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как</w:t>
      </w:r>
      <w:r w:rsidRPr="00076925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076925">
        <w:rPr>
          <w:rFonts w:ascii="Times New Roman" w:hAnsi="Times New Roman" w:cs="Times New Roman"/>
          <w:sz w:val="28"/>
          <w:szCs w:val="28"/>
        </w:rPr>
        <w:t>систематичность проведения ОРВ</w:t>
      </w:r>
      <w:r>
        <w:rPr>
          <w:rFonts w:ascii="Times New Roman" w:hAnsi="Times New Roman" w:cs="Times New Roman"/>
          <w:sz w:val="28"/>
          <w:szCs w:val="28"/>
        </w:rPr>
        <w:t>, то есть оценка проводится в отношении всех проектов, которые изменяют, отменяют или вводят новые обязанности или ответственность для предпринимателей</w:t>
      </w:r>
      <w:r w:rsidRPr="0007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</w:t>
      </w:r>
      <w:r w:rsidRPr="00076925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6925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 ходе проведения ОРВ;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Pr="00076925">
        <w:rPr>
          <w:rFonts w:ascii="Times New Roman" w:hAnsi="Times New Roman" w:cs="Times New Roman"/>
          <w:sz w:val="28"/>
          <w:szCs w:val="28"/>
        </w:rPr>
        <w:t xml:space="preserve"> количественных методов,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76925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925">
        <w:rPr>
          <w:rFonts w:ascii="Times New Roman" w:hAnsi="Times New Roman" w:cs="Times New Roman"/>
          <w:sz w:val="28"/>
          <w:szCs w:val="28"/>
        </w:rPr>
        <w:t xml:space="preserve"> о возможных альтернативных способах прилагаемого регулирования;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925">
        <w:rPr>
          <w:rFonts w:ascii="Times New Roman" w:hAnsi="Times New Roman" w:cs="Times New Roman"/>
          <w:sz w:val="28"/>
          <w:szCs w:val="28"/>
        </w:rPr>
        <w:t xml:space="preserve">качество осуществление публичных консультаций; </w:t>
      </w:r>
    </w:p>
    <w:p w:rsidR="002C3FC0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76925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ение мероприятий, посвященных</w:t>
      </w:r>
      <w:r w:rsidRPr="00076925">
        <w:rPr>
          <w:rFonts w:ascii="Times New Roman" w:hAnsi="Times New Roman" w:cs="Times New Roman"/>
          <w:sz w:val="28"/>
          <w:szCs w:val="28"/>
        </w:rPr>
        <w:t xml:space="preserve"> реализации института ОРВ в муниципальных образованиях. </w:t>
      </w:r>
    </w:p>
    <w:p w:rsidR="002C3FC0" w:rsidRPr="00076925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6925">
        <w:rPr>
          <w:rFonts w:ascii="Times New Roman" w:hAnsi="Times New Roman" w:cs="Times New Roman"/>
          <w:sz w:val="28"/>
          <w:szCs w:val="28"/>
        </w:rPr>
        <w:t xml:space="preserve"> наличие «лучших практик»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Pr="00076925">
        <w:rPr>
          <w:rFonts w:ascii="Times New Roman" w:hAnsi="Times New Roman" w:cs="Times New Roman"/>
          <w:sz w:val="28"/>
          <w:szCs w:val="28"/>
        </w:rPr>
        <w:t>.</w:t>
      </w:r>
    </w:p>
    <w:p w:rsidR="002C3FC0" w:rsidRPr="004F06E3" w:rsidRDefault="002C3FC0" w:rsidP="002C3FC0">
      <w:pPr>
        <w:pStyle w:val="a3"/>
        <w:tabs>
          <w:tab w:val="left" w:pos="284"/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925">
        <w:rPr>
          <w:rFonts w:ascii="Times New Roman" w:hAnsi="Times New Roman" w:cs="Times New Roman"/>
          <w:spacing w:val="-10"/>
          <w:sz w:val="28"/>
          <w:szCs w:val="28"/>
        </w:rPr>
        <w:t xml:space="preserve">Рейтинг проводится в целях </w:t>
      </w:r>
      <w:r w:rsidRPr="00076925">
        <w:rPr>
          <w:rFonts w:ascii="Times New Roman" w:hAnsi="Times New Roman" w:cs="Times New Roman"/>
          <w:sz w:val="28"/>
          <w:szCs w:val="28"/>
        </w:rPr>
        <w:t>анализа текущего</w:t>
      </w:r>
      <w:r w:rsidRPr="003A092F">
        <w:rPr>
          <w:rFonts w:ascii="Times New Roman" w:hAnsi="Times New Roman" w:cs="Times New Roman"/>
          <w:sz w:val="28"/>
          <w:szCs w:val="28"/>
        </w:rPr>
        <w:t xml:space="preserve"> состояния и динамики развития института ОРВ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районах</w:t>
      </w:r>
      <w:r w:rsidRPr="003A092F">
        <w:rPr>
          <w:rFonts w:ascii="Times New Roman" w:hAnsi="Times New Roman" w:cs="Times New Roman"/>
          <w:sz w:val="28"/>
          <w:szCs w:val="28"/>
        </w:rPr>
        <w:t xml:space="preserve">, выявления лучших </w:t>
      </w:r>
      <w:r w:rsidRPr="004F06E3">
        <w:rPr>
          <w:rFonts w:ascii="Times New Roman" w:hAnsi="Times New Roman" w:cs="Times New Roman"/>
          <w:color w:val="000000" w:themeColor="text1"/>
          <w:sz w:val="28"/>
          <w:szCs w:val="28"/>
        </w:rPr>
        <w:t>практик внедрения процедуры ОРВ проектов актов и экспертизы актов.</w:t>
      </w:r>
    </w:p>
    <w:p w:rsidR="002C3FC0" w:rsidRPr="006D0BAC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На основании анализа, представленной информации можно сделать вывод о том, что во всех городских округах и муниципальных районах края:</w:t>
      </w:r>
    </w:p>
    <w:p w:rsidR="002C3FC0" w:rsidRPr="006D0BAC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- определено структурное подразделение администрации муниципального образования, ответственное за внедрение процедуры ОРВ </w:t>
      </w:r>
      <w:r w:rsidRPr="006D0BAC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муниципальных НПА, выполняющее,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</w:t>
      </w:r>
      <w:r w:rsidR="003505D3">
        <w:rPr>
          <w:rFonts w:ascii="Times New Roman" w:hAnsi="Times New Roman" w:cs="Times New Roman"/>
          <w:sz w:val="28"/>
          <w:szCs w:val="28"/>
        </w:rPr>
        <w:t>НПА и реализацию института ОРВ;</w:t>
      </w:r>
    </w:p>
    <w:p w:rsidR="002C3FC0" w:rsidRPr="006D0BAC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приняты муниципальные НПА, утверждающие порядки проведения процедуры ОРВ проектов муниципальных НПА, разработчиками которых является администрация муниципального образования и экспертизы действующих муниципальных НПА (далее – Порядки);</w:t>
      </w:r>
    </w:p>
    <w:p w:rsidR="002C3FC0" w:rsidRPr="006D0BAC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утверждены формы документов, необходимых для проведения ОРВ проектов муниципальных НПА и экспертизы муниципальных НПА;</w:t>
      </w:r>
    </w:p>
    <w:p w:rsidR="002C3FC0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</w:t>
      </w:r>
      <w:r w:rsidR="003505D3"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:rsidR="002C3FC0" w:rsidRPr="003B6EB0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B0">
        <w:rPr>
          <w:rFonts w:ascii="Times New Roman" w:hAnsi="Times New Roman" w:cs="Times New Roman"/>
          <w:sz w:val="28"/>
          <w:szCs w:val="28"/>
        </w:rPr>
        <w:t>В 10 муниципальных образованиях утвержден порядок проведения процедуры ОРВ проектов муниципальных НПА, разработчиком которых является представительный орган местного самоуправления муниципального образования.</w:t>
      </w:r>
    </w:p>
    <w:p w:rsidR="002C3FC0" w:rsidRPr="003B6EB0" w:rsidRDefault="002C3FC0" w:rsidP="002C3FC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B0">
        <w:rPr>
          <w:rFonts w:ascii="Times New Roman" w:hAnsi="Times New Roman" w:cs="Times New Roman"/>
          <w:sz w:val="28"/>
          <w:szCs w:val="28"/>
        </w:rPr>
        <w:t>Процедура урегулирования разногласий, выявленных в ходе проведения ОРВ проектов муниципальных НПА и экспертизы муниципальных НПА</w:t>
      </w:r>
      <w:r w:rsidR="00E65A79">
        <w:rPr>
          <w:rFonts w:ascii="Times New Roman" w:hAnsi="Times New Roman" w:cs="Times New Roman"/>
          <w:sz w:val="28"/>
          <w:szCs w:val="28"/>
        </w:rPr>
        <w:t>,</w:t>
      </w:r>
      <w:r w:rsidRPr="003B6EB0">
        <w:rPr>
          <w:rFonts w:ascii="Times New Roman" w:hAnsi="Times New Roman" w:cs="Times New Roman"/>
          <w:sz w:val="28"/>
          <w:szCs w:val="28"/>
        </w:rPr>
        <w:t xml:space="preserve"> определена в 12 муниципальных образованиях.</w:t>
      </w:r>
    </w:p>
    <w:p w:rsidR="002C3FC0" w:rsidRPr="003B6EB0" w:rsidRDefault="002C3FC0" w:rsidP="002C3FC0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EB0">
        <w:rPr>
          <w:rFonts w:ascii="Times New Roman" w:hAnsi="Times New Roman" w:cs="Times New Roman"/>
          <w:sz w:val="28"/>
          <w:szCs w:val="28"/>
        </w:rPr>
        <w:t>В 7 муниципальных образованиях проводятся (или планируются) мероприятия, посвященные реализации ОРВ, информация о которых регулярно публикуется в сети Интернет.</w:t>
      </w:r>
    </w:p>
    <w:p w:rsidR="002C3FC0" w:rsidRDefault="002C3FC0" w:rsidP="002C3FC0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EB0">
        <w:rPr>
          <w:rFonts w:ascii="Times New Roman" w:hAnsi="Times New Roman" w:cs="Times New Roman"/>
          <w:sz w:val="28"/>
          <w:szCs w:val="28"/>
        </w:rPr>
        <w:t>Только в 2 муниципальных образованиях использованы количественные методы или выводы о возможных альтернативных способах регулирования при подготовке заключений об ОРВ.</w:t>
      </w:r>
    </w:p>
    <w:p w:rsidR="002C3FC0" w:rsidRPr="004F06E3" w:rsidRDefault="002C3FC0" w:rsidP="002C3F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E3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ОРВ проведена в отношении 59 проектов муниципальных НПА.</w:t>
      </w:r>
    </w:p>
    <w:p w:rsidR="002C3FC0" w:rsidRPr="004F06E3" w:rsidRDefault="002C3FC0" w:rsidP="002C3F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за 2019 год проведена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F06E3">
        <w:rPr>
          <w:rFonts w:ascii="Times New Roman" w:hAnsi="Times New Roman" w:cs="Times New Roman"/>
          <w:color w:val="000000" w:themeColor="text1"/>
          <w:sz w:val="28"/>
          <w:szCs w:val="28"/>
        </w:rPr>
        <w:t>2 действующих муниципальных НПА, по результатам которой в 31 муниципальный НПА внесены изменения (или) принято решение об их отмене.</w:t>
      </w:r>
    </w:p>
    <w:p w:rsidR="002C3FC0" w:rsidRDefault="002C3FC0" w:rsidP="002C3FC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6D0BAC">
        <w:rPr>
          <w:rFonts w:ascii="Times New Roman" w:hAnsi="Times New Roman" w:cs="Times New Roman"/>
          <w:sz w:val="28"/>
          <w:szCs w:val="28"/>
        </w:rPr>
        <w:t xml:space="preserve"> ОРВ проектов муниципальных НПА</w:t>
      </w:r>
      <w:r>
        <w:rPr>
          <w:rFonts w:ascii="Times New Roman" w:hAnsi="Times New Roman" w:cs="Times New Roman"/>
          <w:sz w:val="28"/>
          <w:szCs w:val="28"/>
        </w:rPr>
        <w:t xml:space="preserve"> и экспертиза</w:t>
      </w:r>
      <w:r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4F06E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действующих муниципальных НПА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Pr="006D0BAC">
        <w:rPr>
          <w:rFonts w:ascii="Times New Roman" w:hAnsi="Times New Roman" w:cs="Times New Roman"/>
          <w:sz w:val="28"/>
          <w:szCs w:val="28"/>
        </w:rPr>
        <w:t>Пенжинском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2C3FC0" w:rsidRPr="001A3E3A" w:rsidRDefault="002C3FC0" w:rsidP="002C3FC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муниципальных образования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размещают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информацию о проводимых публичных консультациях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ОРВ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портале </w:t>
      </w:r>
      <w:hyperlink r:id="rId6" w:history="1">
        <w:r w:rsidRPr="00D235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 w:rsidRPr="00D23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E3A">
        <w:rPr>
          <w:rFonts w:ascii="Times New Roman" w:hAnsi="Times New Roman" w:cs="Times New Roman"/>
          <w:sz w:val="28"/>
          <w:szCs w:val="28"/>
        </w:rPr>
        <w:t>с целью консолидации информации на едином ресурсе: Петропавловск-Камчатский городской округ и Елизовский муниципальный район.</w:t>
      </w:r>
      <w:r>
        <w:rPr>
          <w:rFonts w:ascii="Times New Roman" w:hAnsi="Times New Roman" w:cs="Times New Roman"/>
          <w:sz w:val="28"/>
          <w:szCs w:val="28"/>
        </w:rPr>
        <w:t xml:space="preserve"> Усть-Большерецкий муниципальный район тоже выразил готовность присо</w:t>
      </w:r>
      <w:r w:rsidR="003505D3">
        <w:rPr>
          <w:rFonts w:ascii="Times New Roman" w:hAnsi="Times New Roman" w:cs="Times New Roman"/>
          <w:sz w:val="28"/>
          <w:szCs w:val="28"/>
        </w:rPr>
        <w:t xml:space="preserve">единиться </w:t>
      </w:r>
      <w:r>
        <w:rPr>
          <w:rFonts w:ascii="Times New Roman" w:hAnsi="Times New Roman" w:cs="Times New Roman"/>
          <w:sz w:val="28"/>
          <w:szCs w:val="28"/>
        </w:rPr>
        <w:t>к размещению информации на региональном портале.</w:t>
      </w:r>
    </w:p>
    <w:p w:rsidR="002C3FC0" w:rsidRPr="00E60843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43">
        <w:rPr>
          <w:rFonts w:ascii="Times New Roman" w:hAnsi="Times New Roman" w:cs="Times New Roman"/>
          <w:b/>
          <w:sz w:val="28"/>
          <w:szCs w:val="28"/>
        </w:rPr>
        <w:lastRenderedPageBreak/>
        <w:t>К лидерам в области проводимой ОРВ и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  <w:r w:rsidRPr="00E60843">
        <w:rPr>
          <w:rFonts w:ascii="Times New Roman" w:hAnsi="Times New Roman" w:cs="Times New Roman"/>
          <w:b/>
          <w:sz w:val="28"/>
          <w:szCs w:val="28"/>
        </w:rPr>
        <w:t>относятся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муниципальные образования</w:t>
      </w:r>
      <w:r w:rsidRPr="00E608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3FC0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Елизовский муниципальный район. У данного муниципального образования самый высокий балл в рейтинге оценки качества осуществления ОРВ и экспертизы в отчетном периоде. В Елизовском муниципальном районе проведено больше экспертиз, чем во всех муниципальных районах. Проведено 43 экспертизы за отчетный период, по результатам которой в 23 муниципальные НПА внесены изменения. </w:t>
      </w:r>
    </w:p>
    <w:p w:rsidR="002C3FC0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Тигильский муниципальный район; проведено всего 10 экспертиз за отчетный период, по результатам которой по 8 муниципальным НПА внесены изменения (или) принято</w:t>
      </w:r>
      <w:r w:rsidRPr="005003FB">
        <w:rPr>
          <w:rFonts w:ascii="Times New Roman" w:hAnsi="Times New Roman" w:cs="Times New Roman"/>
          <w:sz w:val="28"/>
          <w:szCs w:val="28"/>
        </w:rPr>
        <w:t xml:space="preserve"> решение об их отмене.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C0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Усть-Камчатский муниципальный район. В этом районе проведено самое большое количество оценок регулирующего воздействия по проектам муниципальных НПА – 26 проектов прошли ОРВ.</w:t>
      </w:r>
    </w:p>
    <w:p w:rsidR="002C3FC0" w:rsidRDefault="00E65A79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3505D3">
        <w:rPr>
          <w:rFonts w:ascii="Times New Roman" w:hAnsi="Times New Roman" w:cs="Times New Roman"/>
          <w:sz w:val="28"/>
          <w:szCs w:val="28"/>
        </w:rPr>
        <w:t xml:space="preserve">ОРВ и экспертизы за 2020 </w:t>
      </w:r>
      <w:r w:rsidR="002C3FC0" w:rsidRPr="000C23D5">
        <w:rPr>
          <w:rFonts w:ascii="Times New Roman" w:hAnsi="Times New Roman" w:cs="Times New Roman"/>
          <w:b/>
          <w:sz w:val="28"/>
          <w:szCs w:val="28"/>
        </w:rPr>
        <w:t>общими проблемами</w:t>
      </w:r>
      <w:r w:rsidR="002C3FC0">
        <w:rPr>
          <w:rFonts w:ascii="Times New Roman" w:hAnsi="Times New Roman" w:cs="Times New Roman"/>
          <w:sz w:val="28"/>
          <w:szCs w:val="28"/>
        </w:rPr>
        <w:t xml:space="preserve"> для многих муниципальных районов остаются следующие:</w:t>
      </w:r>
    </w:p>
    <w:p w:rsidR="002C3FC0" w:rsidRPr="004F06E3" w:rsidRDefault="002C3FC0" w:rsidP="002C3F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06E3">
        <w:rPr>
          <w:sz w:val="28"/>
          <w:szCs w:val="28"/>
        </w:rPr>
        <w:t xml:space="preserve">- несистематичность проведения ОРВ разработчиками проектов </w:t>
      </w:r>
      <w:r>
        <w:rPr>
          <w:sz w:val="28"/>
          <w:szCs w:val="28"/>
        </w:rPr>
        <w:t>муниципальных НПА</w:t>
      </w:r>
      <w:r w:rsidRPr="004F06E3">
        <w:rPr>
          <w:sz w:val="28"/>
          <w:szCs w:val="28"/>
        </w:rPr>
        <w:t>;</w:t>
      </w:r>
    </w:p>
    <w:p w:rsidR="002C3FC0" w:rsidRPr="004F06E3" w:rsidRDefault="002C3FC0" w:rsidP="002C3F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6E3">
        <w:rPr>
          <w:sz w:val="28"/>
          <w:szCs w:val="28"/>
        </w:rPr>
        <w:t xml:space="preserve">- </w:t>
      </w:r>
      <w:r w:rsidR="00E65A79">
        <w:rPr>
          <w:sz w:val="28"/>
          <w:szCs w:val="28"/>
        </w:rPr>
        <w:t>недостаточная</w:t>
      </w:r>
      <w:r w:rsidRPr="004F06E3">
        <w:rPr>
          <w:sz w:val="28"/>
          <w:szCs w:val="28"/>
        </w:rPr>
        <w:t xml:space="preserve"> активность </w:t>
      </w:r>
      <w:r>
        <w:rPr>
          <w:sz w:val="28"/>
          <w:szCs w:val="28"/>
        </w:rPr>
        <w:t xml:space="preserve">участия </w:t>
      </w:r>
      <w:r w:rsidRPr="004F06E3">
        <w:rPr>
          <w:sz w:val="28"/>
          <w:szCs w:val="28"/>
        </w:rPr>
        <w:t xml:space="preserve">бизнеса </w:t>
      </w:r>
      <w:r>
        <w:rPr>
          <w:sz w:val="28"/>
          <w:szCs w:val="28"/>
        </w:rPr>
        <w:t xml:space="preserve">в </w:t>
      </w:r>
      <w:r w:rsidRPr="004F06E3">
        <w:rPr>
          <w:sz w:val="28"/>
          <w:szCs w:val="28"/>
        </w:rPr>
        <w:t>ОРВ и экспертиз</w:t>
      </w:r>
      <w:r>
        <w:rPr>
          <w:sz w:val="28"/>
          <w:szCs w:val="28"/>
        </w:rPr>
        <w:t>е</w:t>
      </w:r>
      <w:r w:rsidR="003505D3">
        <w:rPr>
          <w:sz w:val="28"/>
          <w:szCs w:val="28"/>
        </w:rPr>
        <w:t>;</w:t>
      </w:r>
    </w:p>
    <w:p w:rsidR="002C3FC0" w:rsidRPr="004F06E3" w:rsidRDefault="002C3FC0" w:rsidP="002C3F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06E3">
        <w:rPr>
          <w:sz w:val="28"/>
          <w:szCs w:val="28"/>
        </w:rPr>
        <w:t>- недостаточная информированность адресатов регулирования;</w:t>
      </w:r>
    </w:p>
    <w:p w:rsidR="002C3FC0" w:rsidRPr="004F06E3" w:rsidRDefault="002C3FC0" w:rsidP="002C3F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F06E3">
        <w:rPr>
          <w:sz w:val="28"/>
          <w:szCs w:val="28"/>
        </w:rPr>
        <w:t>- формальное отношение разработчик</w:t>
      </w:r>
      <w:r>
        <w:rPr>
          <w:sz w:val="28"/>
          <w:szCs w:val="28"/>
        </w:rPr>
        <w:t>ов к процедуре ОРВ;</w:t>
      </w:r>
    </w:p>
    <w:p w:rsidR="002C3FC0" w:rsidRDefault="002C3FC0" w:rsidP="002C3F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3">
        <w:rPr>
          <w:rFonts w:ascii="Times New Roman" w:hAnsi="Times New Roman" w:cs="Times New Roman"/>
          <w:sz w:val="28"/>
          <w:szCs w:val="28"/>
        </w:rPr>
        <w:t>- некачественная подготовка сводных отчетов, недостаточн</w:t>
      </w:r>
      <w:r>
        <w:rPr>
          <w:rFonts w:ascii="Times New Roman" w:hAnsi="Times New Roman" w:cs="Times New Roman"/>
          <w:sz w:val="28"/>
          <w:szCs w:val="28"/>
        </w:rPr>
        <w:t>ая проработка разделов, касающихся оценки</w:t>
      </w:r>
      <w:r w:rsidRPr="004F06E3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деятельности, рассмотрения</w:t>
      </w:r>
      <w:r w:rsidRPr="004F06E3">
        <w:rPr>
          <w:rFonts w:ascii="Times New Roman" w:hAnsi="Times New Roman" w:cs="Times New Roman"/>
          <w:sz w:val="28"/>
          <w:szCs w:val="28"/>
        </w:rPr>
        <w:t xml:space="preserve"> альтернативных вариантов регулирования;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6E3">
        <w:rPr>
          <w:rFonts w:ascii="Times New Roman" w:hAnsi="Times New Roman" w:cs="Times New Roman"/>
          <w:sz w:val="28"/>
          <w:szCs w:val="28"/>
        </w:rPr>
        <w:t xml:space="preserve"> в количественном варианте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регулирования.</w:t>
      </w:r>
    </w:p>
    <w:p w:rsidR="002C3FC0" w:rsidRPr="006D0BAC" w:rsidRDefault="002C3FC0" w:rsidP="002C3FC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6D0BAC">
        <w:rPr>
          <w:rFonts w:ascii="Times New Roman" w:hAnsi="Times New Roman" w:cs="Times New Roman"/>
          <w:sz w:val="28"/>
          <w:szCs w:val="28"/>
        </w:rPr>
        <w:t>сем муниципальным образованиям необходимо обратить внимание на качество размещаемой информации на официальных сайтах администраций муниципальных образований (нормативных правовых актов, документов, размещаемых в рамках проведения публичных консультаций по проектам муниципальных НПА в рамках ОРВ и по муниципальным НПА в рамках экспертизы).</w:t>
      </w:r>
    </w:p>
    <w:p w:rsidR="002C3FC0" w:rsidRPr="000C23D5" w:rsidRDefault="002C3FC0" w:rsidP="002C3F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D5">
        <w:rPr>
          <w:rFonts w:ascii="Times New Roman" w:hAnsi="Times New Roman" w:cs="Times New Roman"/>
          <w:b/>
          <w:sz w:val="28"/>
          <w:szCs w:val="28"/>
        </w:rPr>
        <w:t xml:space="preserve">В целях совершенствования института ОРВ Министерство рекомендует: </w:t>
      </w:r>
    </w:p>
    <w:p w:rsidR="002C3FC0" w:rsidRPr="006D0BAC" w:rsidRDefault="002C3FC0" w:rsidP="002C3FC0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февраля 2021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провести работу:</w:t>
      </w:r>
    </w:p>
    <w:p w:rsidR="002C3FC0" w:rsidRPr="006D0BAC" w:rsidRDefault="002C3FC0" w:rsidP="002C3F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1.1. По внесению изменений в Порядки, в части приведения их в соответствие с положениями федерального и краевого законодательства, в том числе в части уточнения сферы ОРВ;</w:t>
      </w:r>
    </w:p>
    <w:p w:rsidR="002C3FC0" w:rsidRPr="006D0BAC" w:rsidRDefault="002C3FC0" w:rsidP="002C3F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D0BAC">
        <w:rPr>
          <w:rFonts w:ascii="Times New Roman" w:hAnsi="Times New Roman" w:cs="Times New Roman"/>
          <w:sz w:val="28"/>
          <w:szCs w:val="28"/>
        </w:rPr>
        <w:t>. По нормативному закреплению процедуры урегулирования разногласий, выявленных в ходе проведения ОРВ проектов муниципальных НПА и экспертизы муниципальных НПА.</w:t>
      </w:r>
    </w:p>
    <w:p w:rsidR="002C3FC0" w:rsidRPr="006D0BAC" w:rsidRDefault="002C3FC0" w:rsidP="002C3FC0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осуществлять контроль нормотворческого процесса, исключив случаи принятия муниципальных НПА без проведения процедуры ОРВ.</w:t>
      </w:r>
    </w:p>
    <w:p w:rsidR="002C3FC0" w:rsidRPr="006D0BAC" w:rsidRDefault="002C3FC0" w:rsidP="002C3FC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целях повышения эффективности публичных консультаций:</w:t>
      </w:r>
    </w:p>
    <w:p w:rsidR="002C3FC0" w:rsidRPr="006D0BAC" w:rsidRDefault="002C3FC0" w:rsidP="002C3FC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систематически проводить адресную рассылку уведомлений о проведении процедуры ОРВ проектов муниципальных НПА и экспертизы действующих муниципальных НПА;</w:t>
      </w:r>
    </w:p>
    <w:p w:rsidR="002C3FC0" w:rsidRPr="006D0BAC" w:rsidRDefault="002C3FC0" w:rsidP="002C3FC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взаимодействовать с экспертным сообществом (семинары, совещания, телефонные консультации и т.д.);</w:t>
      </w:r>
    </w:p>
    <w:p w:rsidR="002C3FC0" w:rsidRPr="006D0BAC" w:rsidRDefault="002C3FC0" w:rsidP="002C3FC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привлекать членов муниципальных советов по предпринимательству, как наиболее активных представителей предпринимательского сообщества к институту ОРВ (обсуждение проектов муниципальных НПА на заседаниях советов, презентации о возможностях института ОРВ, ежегодные доклады о результатах реализации института ОРВ);</w:t>
      </w:r>
    </w:p>
    <w:p w:rsidR="002C3FC0" w:rsidRPr="006D0BAC" w:rsidRDefault="002C3FC0" w:rsidP="002C3FC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проводить мероприятия по информационной поддержке института ОРВ в СМИ (публикации в газетах, на Интернет-ресурсах и т.д.).</w:t>
      </w:r>
    </w:p>
    <w:p w:rsidR="002C3FC0" w:rsidRPr="006D0BAC" w:rsidRDefault="002C3FC0" w:rsidP="002C3FC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4. При подготовки сводных отчетов и заключений об ОРВ и экспертизе использовать количественные методы, делать вывод о возможных альтернативных способах предлагаемого регулирования. С учетом сопоставления предполагаемых результатов реализации различных вариантов предлагаемого правового регулирования с учетом материальных, временных, трудовых затрат на его введение, а также возможных издержек и выгод предполагаемых адресатов такого регулирования. </w:t>
      </w:r>
    </w:p>
    <w:p w:rsidR="002C3FC0" w:rsidRPr="006D0BAC" w:rsidRDefault="002C3FC0" w:rsidP="002C3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Рекомендуем использовать Методику оценки выгод и стандартных издержек хозяйствующих субъектов, а также калькулятор издержек и выгод, разработанную Агентством от 30.03.2017 № 32-п.</w:t>
      </w:r>
    </w:p>
    <w:p w:rsidR="002C3FC0" w:rsidRPr="006D0BAC" w:rsidRDefault="002C3FC0" w:rsidP="002C3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5. До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D0B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утвердить и разместить на официальном сайте администрации муниципального образования план проведения экспертизы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C3FC0" w:rsidRPr="00EA2162" w:rsidRDefault="002C3FC0" w:rsidP="002C3F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6D0BAC">
        <w:rPr>
          <w:rFonts w:ascii="Times New Roman" w:hAnsi="Times New Roman" w:cs="Times New Roman"/>
          <w:sz w:val="28"/>
          <w:szCs w:val="28"/>
        </w:rPr>
        <w:t>6. Создать на официальном сайте администрации муниципального образования в разделе ОРВ подраздел «Лучшие практики», в котором должна отражаться информация о лучших практиках проведения ОРВ проектов муниципальных НПА и экспертизы муниципальных НПА.</w:t>
      </w:r>
    </w:p>
    <w:p w:rsidR="002C3FC0" w:rsidRPr="001A3E3A" w:rsidRDefault="002C3FC0" w:rsidP="002C3FC0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3E3A">
        <w:rPr>
          <w:rFonts w:ascii="Times New Roman" w:hAnsi="Times New Roman" w:cs="Times New Roman"/>
          <w:sz w:val="28"/>
          <w:szCs w:val="28"/>
        </w:rPr>
        <w:t>Р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азмещать информацию о проводимых публичных консультациях на портале </w:t>
      </w:r>
      <w:hyperlink r:id="rId7" w:history="1">
        <w:r w:rsidRPr="00EE382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http://regulation.kamgov.ru/</w:t>
        </w:r>
      </w:hyperlink>
      <w:r w:rsidRPr="00E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E3A">
        <w:rPr>
          <w:rFonts w:ascii="Times New Roman" w:hAnsi="Times New Roman" w:cs="Times New Roman"/>
          <w:sz w:val="28"/>
          <w:szCs w:val="28"/>
        </w:rPr>
        <w:t>с целью консолидации информации на едином ресурсе.</w:t>
      </w:r>
    </w:p>
    <w:p w:rsidR="000C23D5" w:rsidRPr="006D0BAC" w:rsidRDefault="000C23D5" w:rsidP="000C23D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BE2" w:rsidRDefault="00510BE2" w:rsidP="004F0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F6" w:rsidRDefault="00AF7180" w:rsidP="00510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B2F7DA" wp14:editId="1C44E416">
            <wp:extent cx="5940425" cy="405384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1176"/>
        <w:gridCol w:w="976"/>
        <w:gridCol w:w="976"/>
      </w:tblGrid>
      <w:tr w:rsidR="00362E70" w:rsidRPr="00BC2159" w:rsidTr="00AF7180">
        <w:trPr>
          <w:trHeight w:val="7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62E70" w:rsidRPr="00BC2159" w:rsidTr="00BD1D77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0" w:rsidRPr="00BC2159" w:rsidRDefault="00362E70" w:rsidP="00BD1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BC6B9AB" wp14:editId="21CDC212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8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62E70" w:rsidRDefault="00362E70" w:rsidP="00362E70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Высший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C6B9AB" id="Прямоугольник 12" o:spid="_x0000_s1026" style="position:absolute;margin-left:-11.25pt;margin-top:12.8pt;width:118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" fillcolor="red" strokecolor="#5b9bd5 [3204]" strokeweight="1pt">
                            <v:textbox>
                              <w:txbxContent>
                                <w:p w:rsidR="00362E70" w:rsidRDefault="00362E70" w:rsidP="00362E70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Высший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62E70" w:rsidRPr="00BC2159" w:rsidRDefault="00362E70" w:rsidP="00BD1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AE40F" wp14:editId="6A2C042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319405</wp:posOffset>
                      </wp:positionV>
                      <wp:extent cx="1504950" cy="590550"/>
                      <wp:effectExtent l="0" t="0" r="19050" b="19050"/>
                      <wp:wrapNone/>
                      <wp:docPr id="14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E70" w:rsidRDefault="00362E70" w:rsidP="00362E70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Хороший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AE40F" id="_x0000_s1027" style="position:absolute;margin-left:7.5pt;margin-top:25.15pt;width:11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" fillcolor="#aeaaaa [2414]" strokecolor="#5b9bd5 [3204]" strokeweight="1pt">
                      <v:textbox>
                        <w:txbxContent>
                          <w:p w:rsidR="00362E70" w:rsidRDefault="00362E70" w:rsidP="00362E7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Хороший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7BA1C" wp14:editId="7E9BA6A0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344805</wp:posOffset>
                      </wp:positionV>
                      <wp:extent cx="1504950" cy="590550"/>
                      <wp:effectExtent l="0" t="0" r="19050" b="19050"/>
                      <wp:wrapNone/>
                      <wp:docPr id="15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E70" w:rsidRDefault="00362E70" w:rsidP="00362E70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BA1C" id="_x0000_s1028" style="position:absolute;margin-left:35.75pt;margin-top:27.15pt;width:11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" fillcolor="#2e74b5 [2404]" strokecolor="#5b9bd5 [3204]" strokeweight="1pt">
                      <v:textbox>
                        <w:txbxContent>
                          <w:p w:rsidR="00362E70" w:rsidRDefault="00362E70" w:rsidP="00362E7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Удовлетворительный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543BE4" wp14:editId="1E8A65BC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95250</wp:posOffset>
                      </wp:positionV>
                      <wp:extent cx="1762125" cy="4572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100" cy="393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E70" w:rsidRDefault="00362E70" w:rsidP="00362E70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43BE4" id="Прямоугольник 16" o:spid="_x0000_s1029" style="position:absolute;margin-left:158.25pt;margin-top:7.5pt;width:138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" fillcolor="yellow" strokecolor="#5b9bd5 [3204]" strokeweight="1pt">
                      <v:textbox>
                        <w:txbxContent>
                          <w:p w:rsidR="00362E70" w:rsidRDefault="00362E70" w:rsidP="00362E7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Неудовлетворительный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62E70" w:rsidRPr="00BC2159" w:rsidTr="00BD1D77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0" w:rsidRPr="00BC2159" w:rsidRDefault="00362E70" w:rsidP="00BD1D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E6D90D9" wp14:editId="0C5AAD7A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4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62E70" w:rsidRDefault="00362E70" w:rsidP="00362E70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Неудовлетворительный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6D90D9" id="_x0000_s1030" style="position:absolute;margin-left:14.25pt;margin-top:12.85pt;width:118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" fillcolor="yellow" strokecolor="#5b9bd5 [3204]" strokeweight="1pt">
                            <v:textbox>
                              <w:txbxContent>
                                <w:p w:rsidR="00362E70" w:rsidRDefault="00362E70" w:rsidP="00362E70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62E70" w:rsidRPr="00BC2159" w:rsidRDefault="00362E70" w:rsidP="00BD1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2E70" w:rsidRPr="00BC2159" w:rsidTr="00AF7180">
        <w:trPr>
          <w:trHeight w:val="7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70" w:rsidRPr="00BC2159" w:rsidRDefault="00362E70" w:rsidP="00BD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BE2" w:rsidRDefault="00510BE2" w:rsidP="00510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0BE2" w:rsidSect="003176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5A7"/>
    <w:multiLevelType w:val="hybridMultilevel"/>
    <w:tmpl w:val="C4A6B038"/>
    <w:lvl w:ilvl="0" w:tplc="53160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23641"/>
    <w:multiLevelType w:val="hybridMultilevel"/>
    <w:tmpl w:val="EBE0ABE4"/>
    <w:lvl w:ilvl="0" w:tplc="815644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F"/>
    <w:rsid w:val="00095118"/>
    <w:rsid w:val="000C23D5"/>
    <w:rsid w:val="0012412F"/>
    <w:rsid w:val="002C3FC0"/>
    <w:rsid w:val="0031766C"/>
    <w:rsid w:val="003505D3"/>
    <w:rsid w:val="00362E70"/>
    <w:rsid w:val="004F06E3"/>
    <w:rsid w:val="00500DFB"/>
    <w:rsid w:val="00510BE2"/>
    <w:rsid w:val="005D0B18"/>
    <w:rsid w:val="00747CF6"/>
    <w:rsid w:val="009D62F8"/>
    <w:rsid w:val="00AF7180"/>
    <w:rsid w:val="00B4796D"/>
    <w:rsid w:val="00D2355B"/>
    <w:rsid w:val="00D550BA"/>
    <w:rsid w:val="00E60843"/>
    <w:rsid w:val="00E65A79"/>
    <w:rsid w:val="00E95165"/>
    <w:rsid w:val="00EF35BC"/>
    <w:rsid w:val="00F32172"/>
    <w:rsid w:val="00F43AE4"/>
    <w:rsid w:val="00F609F0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C8B5-FA31-4F4C-AFCB-2B49020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6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0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10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regulation.kam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kam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usr.pkk.local\aginvest\&#1054;&#1090;&#1076;&#1077;&#1083;%20&#1088;&#1077;&#1075;&#1091;&#1083;&#1103;&#1090;&#1086;&#1088;&#1085;&#1086;&#1081;%20&#1087;&#1086;&#1083;&#1080;&#1090;&#1080;&#1082;&#1080;%20&#1080;%20&#1088;&#1072;&#1079;&#1074;&#1080;&#1090;&#1080;&#1103;%20&#1087;&#1088;&#1077;&#1076;&#1087;&#1088;&#1080;&#1085;&#1080;&#1084;&#1072;&#1090;&#1077;&#1083;&#1100;&#1089;&#1090;&#1074;&#1072;\7_&#1054;&#1056;&#1042;%20&#1048;%20&#1069;&#1050;&#1057;&#1055;&#1045;&#1056;&#1058;&#1048;&#1047;&#1040;\&#1054;&#1056;&#1042;_&#1056;&#1040;&#1047;&#1053;&#1054;&#1045;\&#1056;&#1077;&#1081;&#1090;&#1080;&#1085;&#1075;%20&#1052;&#1054;\2020\&#1088;&#1072;&#1085;&#1078;&#1080;&#1088;&#1086;&#1074;&#1072;&#1085;&#1080;&#1077;%20&#1084;&#1086;_2020_&#1080;&#1090;&#1086;&#1075;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Результаты рейтинга качества ОРВ и экспертизы в МО Камчатского края за 2020 год</a:t>
            </a:r>
            <a:endParaRPr lang="ru-RU" sz="1400"/>
          </a:p>
        </c:rich>
      </c:tx>
      <c:layout>
        <c:manualLayout>
          <c:xMode val="edge"/>
          <c:yMode val="edge"/>
          <c:x val="0.10031336141774366"/>
          <c:y val="3.2900410475006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462277293764849"/>
          <c:y val="0.19750482575350553"/>
          <c:w val="0.47971062992125985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Лист1!$B$2:$B$15</c:f>
              <c:strCache>
                <c:ptCount val="14"/>
                <c:pt idx="0">
                  <c:v>Петропавловск-Камчатский городской округ</c:v>
                </c:pt>
                <c:pt idx="1">
                  <c:v>Вилючинский городской округ</c:v>
                </c:pt>
                <c:pt idx="2">
                  <c:v>Городской округ поселок «Палана»</c:v>
                </c:pt>
                <c:pt idx="3">
                  <c:v>Алеутский муниципальный район</c:v>
                </c:pt>
                <c:pt idx="4">
                  <c:v>Быстринский муниципальный район -  информации представлено не было!!!!</c:v>
                </c:pt>
                <c:pt idx="5">
                  <c:v>Елизовский муниципальный район</c:v>
                </c:pt>
                <c:pt idx="6">
                  <c:v>Карагинский муниципальный район </c:v>
                </c:pt>
                <c:pt idx="7">
                  <c:v>Мильковский муниципальный район</c:v>
                </c:pt>
                <c:pt idx="8">
                  <c:v>Олюторский муниципальный район</c:v>
                </c:pt>
                <c:pt idx="9">
                  <c:v>Пенжинский муниципальный район</c:v>
                </c:pt>
                <c:pt idx="10">
                  <c:v>Соболевский муниципальный район</c:v>
                </c:pt>
                <c:pt idx="11">
                  <c:v>Тигильский муниципальный район</c:v>
                </c:pt>
                <c:pt idx="12">
                  <c:v>Усть-Большерецкий муниципальный район</c:v>
                </c:pt>
                <c:pt idx="13">
                  <c:v>Усть-Камчатский муниципальный район</c:v>
                </c:pt>
              </c:strCache>
            </c:strRef>
          </c:cat>
          <c:val>
            <c:numRef>
              <c:f>Лист1!$X$2:$X$15</c:f>
              <c:numCache>
                <c:formatCode>General</c:formatCode>
                <c:ptCount val="14"/>
                <c:pt idx="0">
                  <c:v>54</c:v>
                </c:pt>
                <c:pt idx="1">
                  <c:v>36</c:v>
                </c:pt>
                <c:pt idx="2">
                  <c:v>50</c:v>
                </c:pt>
                <c:pt idx="3">
                  <c:v>41</c:v>
                </c:pt>
                <c:pt idx="4">
                  <c:v>32</c:v>
                </c:pt>
                <c:pt idx="5">
                  <c:v>87</c:v>
                </c:pt>
                <c:pt idx="6">
                  <c:v>51</c:v>
                </c:pt>
                <c:pt idx="7">
                  <c:v>48</c:v>
                </c:pt>
                <c:pt idx="8">
                  <c:v>34</c:v>
                </c:pt>
                <c:pt idx="9">
                  <c:v>11</c:v>
                </c:pt>
                <c:pt idx="10">
                  <c:v>47</c:v>
                </c:pt>
                <c:pt idx="11">
                  <c:v>57</c:v>
                </c:pt>
                <c:pt idx="12">
                  <c:v>50</c:v>
                </c:pt>
                <c:pt idx="1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967056"/>
        <c:axId val="-2112958896"/>
      </c:barChart>
      <c:catAx>
        <c:axId val="-2112967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112958896"/>
        <c:crosses val="autoZero"/>
        <c:auto val="1"/>
        <c:lblAlgn val="ctr"/>
        <c:lblOffset val="100"/>
        <c:noMultiLvlLbl val="0"/>
      </c:catAx>
      <c:valAx>
        <c:axId val="-2112958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1296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CA28-0F8B-4BAE-A73F-D08B4EC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cp:lastPrinted>2020-03-24T04:18:00Z</cp:lastPrinted>
  <dcterms:created xsi:type="dcterms:W3CDTF">2021-02-16T03:20:00Z</dcterms:created>
  <dcterms:modified xsi:type="dcterms:W3CDTF">2021-02-16T03:20:00Z</dcterms:modified>
</cp:coreProperties>
</file>