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C9" w:rsidRPr="006C1EEA" w:rsidRDefault="00801D64" w:rsidP="00801D64">
      <w:pPr>
        <w:jc w:val="center"/>
        <w:rPr>
          <w:b/>
        </w:rPr>
      </w:pPr>
      <w:r w:rsidRPr="006C1EEA">
        <w:rPr>
          <w:b/>
        </w:rPr>
        <w:t>Обучение в рамках Стандарта муниципальных районов Камчатского края</w:t>
      </w:r>
    </w:p>
    <w:p w:rsidR="00561E13" w:rsidRDefault="00561E13" w:rsidP="00561E13">
      <w:pPr>
        <w:ind w:firstLine="708"/>
        <w:jc w:val="both"/>
      </w:pPr>
      <w:r>
        <w:t xml:space="preserve">Основные направления работы, установленные Стандартом развития конкуренции: </w:t>
      </w:r>
    </w:p>
    <w:p w:rsidR="00561E13" w:rsidRDefault="00561E13" w:rsidP="00561E13">
      <w:pPr>
        <w:pStyle w:val="a3"/>
        <w:numPr>
          <w:ilvl w:val="0"/>
          <w:numId w:val="11"/>
        </w:numPr>
        <w:ind w:left="0" w:firstLine="708"/>
        <w:jc w:val="both"/>
      </w:pPr>
      <w:r>
        <w:t>Основной документ</w:t>
      </w:r>
      <w:r w:rsidR="00F22CD4">
        <w:t xml:space="preserve"> по направлению конкуренции – </w:t>
      </w:r>
      <w:r w:rsidR="00F22CD4" w:rsidRPr="00561E13">
        <w:rPr>
          <w:b/>
        </w:rPr>
        <w:t>Стандарт развития конкуренции</w:t>
      </w:r>
      <w:r w:rsidR="00F22CD4">
        <w:t xml:space="preserve"> в субъектах Росс</w:t>
      </w:r>
      <w:r w:rsidR="001B2FF4">
        <w:t>ийской Федерации, утвержден р</w:t>
      </w:r>
      <w:r w:rsidR="00F22CD4">
        <w:t xml:space="preserve">аспоряжением Правительства РФ 17.04.2019 № 768-р. </w:t>
      </w:r>
    </w:p>
    <w:p w:rsidR="00F22CD4" w:rsidRDefault="00F22CD4" w:rsidP="00561E13">
      <w:pPr>
        <w:pStyle w:val="a3"/>
        <w:numPr>
          <w:ilvl w:val="0"/>
          <w:numId w:val="11"/>
        </w:numPr>
        <w:ind w:left="0" w:firstLine="708"/>
        <w:jc w:val="both"/>
      </w:pPr>
      <w:r>
        <w:t xml:space="preserve">Стандартом предусмотрено заключение </w:t>
      </w:r>
      <w:r w:rsidRPr="00561E13">
        <w:rPr>
          <w:b/>
        </w:rPr>
        <w:t>Соглашений с муниципальными районами</w:t>
      </w:r>
      <w:r w:rsidR="00561E13">
        <w:t xml:space="preserve">. </w:t>
      </w:r>
      <w:r>
        <w:t>Соглашения заключены со всеми без исключения МО. В скором времени мы будем вносить в них изменения, в связ</w:t>
      </w:r>
      <w:r w:rsidR="00561E13">
        <w:t xml:space="preserve">и с кадровыми изменениями </w:t>
      </w:r>
      <w:r>
        <w:t>в Министерстве</w:t>
      </w:r>
      <w:r w:rsidR="00561E13">
        <w:t xml:space="preserve"> инвестиций, промышленности и предпринимательства Камчатского края (далее – Министерство)</w:t>
      </w:r>
      <w:r>
        <w:t xml:space="preserve"> и</w:t>
      </w:r>
      <w:r w:rsidR="00561E13">
        <w:t xml:space="preserve"> некоторыми </w:t>
      </w:r>
      <w:r>
        <w:t>кадровыми изменен</w:t>
      </w:r>
      <w:r w:rsidR="00774FDB">
        <w:t>иями в администрациях МО.</w:t>
      </w:r>
    </w:p>
    <w:p w:rsidR="00F22CD4" w:rsidRDefault="00F22CD4" w:rsidP="00561E13">
      <w:pPr>
        <w:pStyle w:val="a3"/>
        <w:numPr>
          <w:ilvl w:val="0"/>
          <w:numId w:val="11"/>
        </w:numPr>
        <w:ind w:left="0" w:firstLine="708"/>
        <w:jc w:val="both"/>
      </w:pPr>
      <w:r w:rsidRPr="00561E13">
        <w:rPr>
          <w:b/>
        </w:rPr>
        <w:t>Уполномоченным органом</w:t>
      </w:r>
      <w:r>
        <w:t xml:space="preserve"> по внедрению Стандарта является Министерство.</w:t>
      </w:r>
    </w:p>
    <w:p w:rsidR="00F22CD4" w:rsidRDefault="00F22CD4" w:rsidP="00561E13">
      <w:pPr>
        <w:pStyle w:val="a3"/>
        <w:numPr>
          <w:ilvl w:val="0"/>
          <w:numId w:val="11"/>
        </w:numPr>
        <w:ind w:left="0" w:firstLine="708"/>
        <w:jc w:val="both"/>
      </w:pPr>
      <w:r>
        <w:t xml:space="preserve">Министерством ежегодно формируется </w:t>
      </w:r>
      <w:r w:rsidRPr="00561E13">
        <w:rPr>
          <w:b/>
        </w:rPr>
        <w:t>Рейтинг глав муниципальных районов</w:t>
      </w:r>
      <w:r w:rsidR="00561E13">
        <w:t xml:space="preserve"> по уровню содействия развитию</w:t>
      </w:r>
      <w:r>
        <w:t xml:space="preserve"> конкуренции. Существует определенная методика, по которой происходит оценка (Приказ</w:t>
      </w:r>
      <w:r w:rsidR="00561E13">
        <w:t xml:space="preserve"> Министерства</w:t>
      </w:r>
      <w:r>
        <w:t xml:space="preserve"> 289</w:t>
      </w:r>
      <w:r w:rsidR="00561E13">
        <w:t>-п</w:t>
      </w:r>
      <w:r w:rsidR="002874FF">
        <w:t xml:space="preserve">), в методику входят показатели, </w:t>
      </w:r>
      <w:r>
        <w:t xml:space="preserve">предусмотренные Стандартом. </w:t>
      </w:r>
      <w:r w:rsidR="00561E13">
        <w:t xml:space="preserve">Приказ размещен </w:t>
      </w:r>
      <w:r w:rsidR="002874FF">
        <w:t>на офиц</w:t>
      </w:r>
      <w:r w:rsidR="001B2FF4">
        <w:t xml:space="preserve">иальном сайте Министерства в </w:t>
      </w:r>
      <w:r w:rsidR="002874FF">
        <w:t xml:space="preserve">разделе «Бизнес», </w:t>
      </w:r>
      <w:r w:rsidR="001B2FF4">
        <w:t>под</w:t>
      </w:r>
      <w:r w:rsidR="002874FF">
        <w:t>разделе «Развитие конкурентной среды», раздел «Взаимодействие с муниципальными образованиями».</w:t>
      </w:r>
    </w:p>
    <w:p w:rsidR="002874FF" w:rsidRDefault="002874FF" w:rsidP="00561E1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</w:pPr>
      <w:r w:rsidRPr="00561E13">
        <w:rPr>
          <w:b/>
        </w:rPr>
        <w:t>Перечень товарных рынков</w:t>
      </w:r>
      <w:r w:rsidR="0013187D">
        <w:t>. Стандарт</w:t>
      </w:r>
      <w:r w:rsidR="001B2FF4">
        <w:t>ом</w:t>
      </w:r>
      <w:r w:rsidR="0013187D">
        <w:t xml:space="preserve"> </w:t>
      </w:r>
      <w:r w:rsidR="001B2FF4">
        <w:t xml:space="preserve">предложен </w:t>
      </w:r>
      <w:r>
        <w:t>список</w:t>
      </w:r>
      <w:r w:rsidR="0013187D">
        <w:t xml:space="preserve"> товарных рынков</w:t>
      </w:r>
      <w:r w:rsidR="001B2FF4">
        <w:t>, в соответствии с которым</w:t>
      </w:r>
      <w:r>
        <w:t xml:space="preserve"> </w:t>
      </w:r>
      <w:r w:rsidR="001B2FF4">
        <w:t xml:space="preserve">необходимо </w:t>
      </w:r>
      <w:r>
        <w:t xml:space="preserve">отобрать определённое количество рынков для развития на </w:t>
      </w:r>
      <w:r w:rsidR="0013187D">
        <w:t xml:space="preserve">них </w:t>
      </w:r>
      <w:r>
        <w:t xml:space="preserve">конкуренции применяя определённые инструменты. </w:t>
      </w:r>
      <w:r w:rsidR="0013187D">
        <w:t>О</w:t>
      </w:r>
      <w:r>
        <w:t>сновная цель</w:t>
      </w:r>
      <w:r w:rsidR="0013187D">
        <w:t xml:space="preserve"> (с которой напрямую связан главный ключевой показатель на каждом рынке) – увеличение </w:t>
      </w:r>
      <w:r>
        <w:t>количества хозяйствующих субъектов (</w:t>
      </w:r>
      <w:r w:rsidR="00561E13">
        <w:t>субъектов малого и среднего предпринимательства – далее СМСП</w:t>
      </w:r>
      <w:r>
        <w:t xml:space="preserve">), </w:t>
      </w:r>
      <w:r w:rsidRPr="00561E13">
        <w:rPr>
          <w:b/>
        </w:rPr>
        <w:t>частной формы собственности</w:t>
      </w:r>
      <w:r>
        <w:t xml:space="preserve">. </w:t>
      </w:r>
    </w:p>
    <w:p w:rsidR="002874FF" w:rsidRDefault="002874FF" w:rsidP="00561E13">
      <w:pPr>
        <w:spacing w:after="0" w:line="240" w:lineRule="auto"/>
        <w:ind w:firstLine="708"/>
        <w:jc w:val="both"/>
      </w:pPr>
      <w:r>
        <w:t>Региональный перечень, в соответствии со Стандартом, включает в себя 33 основных и 7 дополнительных товарных рынка. Перечень утвержден распоряжением Правительства Камчатского края от 27.11.2018 №</w:t>
      </w:r>
      <w:r w:rsidR="0013187D">
        <w:t xml:space="preserve"> </w:t>
      </w:r>
      <w:r>
        <w:t>484-РП.</w:t>
      </w:r>
    </w:p>
    <w:p w:rsidR="007B55D4" w:rsidRDefault="007B55D4" w:rsidP="00561E13">
      <w:pPr>
        <w:spacing w:after="0" w:line="240" w:lineRule="auto"/>
        <w:ind w:firstLine="708"/>
        <w:jc w:val="both"/>
      </w:pPr>
      <w:r>
        <w:t xml:space="preserve">Обращаю Ваше внимание, что в соответствие с новым Стандартом товарные рынки </w:t>
      </w:r>
      <w:r w:rsidRPr="00F37355">
        <w:rPr>
          <w:b/>
        </w:rPr>
        <w:t>НЕ делятся</w:t>
      </w:r>
      <w:r>
        <w:t xml:space="preserve"> на «приоритетные» и «социально-значимые».</w:t>
      </w:r>
    </w:p>
    <w:p w:rsidR="002874FF" w:rsidRDefault="002874FF" w:rsidP="00561E13">
      <w:pPr>
        <w:spacing w:after="0" w:line="240" w:lineRule="auto"/>
        <w:ind w:firstLine="708"/>
        <w:jc w:val="both"/>
      </w:pPr>
    </w:p>
    <w:p w:rsidR="00702240" w:rsidRDefault="002874FF" w:rsidP="00561E1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</w:pPr>
      <w:r w:rsidRPr="00561E13">
        <w:rPr>
          <w:b/>
        </w:rPr>
        <w:t>План мероприятий «</w:t>
      </w:r>
      <w:r w:rsidR="006C1EEA" w:rsidRPr="00561E13">
        <w:rPr>
          <w:b/>
        </w:rPr>
        <w:t>д</w:t>
      </w:r>
      <w:r w:rsidRPr="00561E13">
        <w:rPr>
          <w:b/>
        </w:rPr>
        <w:t>орожная карта»</w:t>
      </w:r>
      <w:r>
        <w:t xml:space="preserve"> по развитию конкуренции в Ка</w:t>
      </w:r>
      <w:r w:rsidR="00255308">
        <w:t xml:space="preserve">мчатском крае. «Дорожная карта» </w:t>
      </w:r>
      <w:r>
        <w:t xml:space="preserve">служит </w:t>
      </w:r>
      <w:r w:rsidRPr="00561E13">
        <w:rPr>
          <w:b/>
        </w:rPr>
        <w:t>инструментом</w:t>
      </w:r>
      <w:r>
        <w:t xml:space="preserve"> для развития к</w:t>
      </w:r>
      <w:r w:rsidR="00255308">
        <w:t>онкуренции на рынках, согласно П</w:t>
      </w:r>
      <w:r>
        <w:t xml:space="preserve">еречню. </w:t>
      </w:r>
      <w:r w:rsidR="00702240">
        <w:t>В настоящий момент в Камчатском крае действуют «дорожные карты»</w:t>
      </w:r>
      <w:r w:rsidR="00F37355">
        <w:t xml:space="preserve"> (далее – ДК)</w:t>
      </w:r>
      <w:r w:rsidR="00702240">
        <w:t xml:space="preserve"> регионального и муниципального уровня.</w:t>
      </w:r>
    </w:p>
    <w:p w:rsidR="00702240" w:rsidRDefault="00702240" w:rsidP="00561E13">
      <w:pPr>
        <w:spacing w:after="0" w:line="240" w:lineRule="auto"/>
        <w:ind w:firstLine="708"/>
        <w:jc w:val="both"/>
      </w:pPr>
    </w:p>
    <w:p w:rsidR="002874FF" w:rsidRDefault="001B2FF4" w:rsidP="00561E13">
      <w:pPr>
        <w:spacing w:after="0" w:line="240" w:lineRule="auto"/>
        <w:ind w:firstLine="708"/>
        <w:jc w:val="both"/>
      </w:pPr>
      <w:r>
        <w:t xml:space="preserve">Региональная </w:t>
      </w:r>
      <w:r w:rsidR="00F37355">
        <w:t>ДК</w:t>
      </w:r>
      <w:r>
        <w:t xml:space="preserve"> состоит из двух частей </w:t>
      </w:r>
      <w:r w:rsidR="006C1EEA">
        <w:t xml:space="preserve">– системные мероприятия и мероприятия на товарных рынках. Ответственными исполнителями по этим </w:t>
      </w:r>
      <w:r w:rsidR="006C1EEA">
        <w:lastRenderedPageBreak/>
        <w:t>мероприятиям являются как исполнительные органы государственной власти Камчатского края, так и органы местного самоуправления (</w:t>
      </w:r>
      <w:r w:rsidR="00774FDB">
        <w:t>по не</w:t>
      </w:r>
      <w:r w:rsidR="006C1EEA">
        <w:t>которым из них).</w:t>
      </w:r>
    </w:p>
    <w:p w:rsidR="00CD446F" w:rsidRDefault="00CD446F" w:rsidP="00561E13">
      <w:pPr>
        <w:spacing w:after="0" w:line="240" w:lineRule="auto"/>
        <w:ind w:firstLine="708"/>
        <w:jc w:val="both"/>
      </w:pPr>
    </w:p>
    <w:p w:rsidR="00906797" w:rsidRDefault="00CD446F" w:rsidP="00561E1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</w:pPr>
      <w:r>
        <w:t xml:space="preserve">В соответствии со Стандартом, информация о внедрении его положений подлежит </w:t>
      </w:r>
      <w:r w:rsidRPr="00561E13">
        <w:rPr>
          <w:b/>
        </w:rPr>
        <w:t>раскрытию на официальных сайтах</w:t>
      </w:r>
      <w:r w:rsidR="00255308">
        <w:rPr>
          <w:b/>
        </w:rPr>
        <w:t>,</w:t>
      </w:r>
      <w:r>
        <w:t xml:space="preserve"> как Правительства Камчатского края, так и официальных сайтах админ</w:t>
      </w:r>
      <w:r w:rsidR="00135BDF">
        <w:t>истраций муниципальных районов, а также актуализации не реже 1 раза в квартал.</w:t>
      </w:r>
    </w:p>
    <w:p w:rsidR="00906797" w:rsidRDefault="00906797" w:rsidP="00561E13">
      <w:pPr>
        <w:spacing w:after="0" w:line="240" w:lineRule="auto"/>
        <w:ind w:firstLine="708"/>
        <w:jc w:val="both"/>
      </w:pPr>
    </w:p>
    <w:p w:rsidR="00906797" w:rsidRDefault="00906797" w:rsidP="00561E1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</w:pPr>
      <w:r w:rsidRPr="00561E13">
        <w:rPr>
          <w:b/>
        </w:rPr>
        <w:t>Ежегодное проведение мониторинга</w:t>
      </w:r>
      <w:r>
        <w:t xml:space="preserve"> состояния конкуренции в Камчатском крае. Опросы </w:t>
      </w:r>
      <w:r w:rsidR="001B2FF4">
        <w:t xml:space="preserve">проводятся </w:t>
      </w:r>
      <w:r w:rsidR="00255308">
        <w:t xml:space="preserve">по двум направлениям – </w:t>
      </w:r>
      <w:r>
        <w:t xml:space="preserve">население и </w:t>
      </w:r>
      <w:r w:rsidR="00255308">
        <w:t xml:space="preserve">СМСП </w:t>
      </w:r>
      <w:r>
        <w:t>Камчатского края. Мониторинг состоит из нескольких этапов:</w:t>
      </w:r>
    </w:p>
    <w:p w:rsidR="00906797" w:rsidRDefault="00906797" w:rsidP="00561E13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</w:pPr>
      <w:r>
        <w:t xml:space="preserve">Подготовка анкет (в настоящий момент в соответствии с методическими рекомендациями </w:t>
      </w:r>
      <w:proofErr w:type="spellStart"/>
      <w:r>
        <w:t>МинЭконом</w:t>
      </w:r>
      <w:proofErr w:type="spellEnd"/>
      <w:r>
        <w:t xml:space="preserve"> развития РФ)</w:t>
      </w:r>
      <w:r w:rsidR="00135BDF">
        <w:t xml:space="preserve">. В этом году опрос проводился только в электронной форме посредством сервиса </w:t>
      </w:r>
      <w:proofErr w:type="spellStart"/>
      <w:r w:rsidR="00135BDF">
        <w:t>гугл</w:t>
      </w:r>
      <w:proofErr w:type="spellEnd"/>
      <w:r w:rsidR="00135BDF">
        <w:t>-анкет.</w:t>
      </w:r>
    </w:p>
    <w:p w:rsidR="00906797" w:rsidRDefault="00906797" w:rsidP="00561E13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</w:pPr>
      <w:r>
        <w:t>Привлечение респондентов</w:t>
      </w:r>
      <w:r w:rsidR="00135BDF">
        <w:t xml:space="preserve"> посредством рассылки</w:t>
      </w:r>
      <w:r>
        <w:t xml:space="preserve"> </w:t>
      </w:r>
      <w:r w:rsidR="00135BDF">
        <w:t>по электронной почте ссылки на анкеты.</w:t>
      </w:r>
    </w:p>
    <w:p w:rsidR="00906797" w:rsidRDefault="00906797" w:rsidP="00561E13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</w:pPr>
      <w:r>
        <w:t>Сбор результатов</w:t>
      </w:r>
      <w:r w:rsidR="00135BDF">
        <w:t xml:space="preserve"> (у создателя анкеты есть возможность делать ежедневную выгрузку результатов).</w:t>
      </w:r>
    </w:p>
    <w:p w:rsidR="00906797" w:rsidRDefault="00906797" w:rsidP="00561E13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</w:pPr>
      <w:r>
        <w:t>Направление результатов подрядчику для анализа.</w:t>
      </w:r>
    </w:p>
    <w:p w:rsidR="00906797" w:rsidRDefault="00906797" w:rsidP="00561E13">
      <w:pPr>
        <w:pStyle w:val="a3"/>
        <w:spacing w:after="0" w:line="240" w:lineRule="auto"/>
        <w:ind w:left="0" w:firstLine="708"/>
        <w:jc w:val="both"/>
      </w:pPr>
    </w:p>
    <w:p w:rsidR="00906797" w:rsidRDefault="00310707" w:rsidP="00561E13">
      <w:pPr>
        <w:pStyle w:val="a3"/>
        <w:spacing w:after="0" w:line="240" w:lineRule="auto"/>
        <w:ind w:left="0" w:firstLine="708"/>
        <w:jc w:val="both"/>
      </w:pPr>
      <w:r>
        <w:t>С 2019</w:t>
      </w:r>
      <w:r w:rsidR="00906797">
        <w:t xml:space="preserve"> к исследовательской работе</w:t>
      </w:r>
      <w:r>
        <w:t xml:space="preserve"> привлекается подрядная</w:t>
      </w:r>
      <w:r w:rsidR="00906797">
        <w:t xml:space="preserve"> организ</w:t>
      </w:r>
      <w:r>
        <w:t>ация</w:t>
      </w:r>
      <w:r w:rsidR="00906797">
        <w:t xml:space="preserve"> из г. Пермь. </w:t>
      </w:r>
      <w:r w:rsidR="00135BDF">
        <w:t xml:space="preserve">Полученные в ходе анкетирования результаты </w:t>
      </w:r>
      <w:r w:rsidR="001B2FF4">
        <w:t xml:space="preserve">направляются </w:t>
      </w:r>
      <w:r w:rsidR="00135BDF">
        <w:t>для анализа</w:t>
      </w:r>
      <w:r>
        <w:t xml:space="preserve"> с целью формирования аналитического</w:t>
      </w:r>
      <w:r w:rsidR="00135BDF">
        <w:t xml:space="preserve"> отчет</w:t>
      </w:r>
      <w:r>
        <w:t>а</w:t>
      </w:r>
      <w:r w:rsidR="00135BDF">
        <w:t xml:space="preserve">. Со всеми отчетами можно ознакомиться на официальном сайте Министерства в разделе «Развитие конкурентной среды». </w:t>
      </w:r>
    </w:p>
    <w:p w:rsidR="00135BDF" w:rsidRDefault="00135BDF" w:rsidP="00561E13">
      <w:pPr>
        <w:pStyle w:val="a3"/>
        <w:spacing w:after="0" w:line="240" w:lineRule="auto"/>
        <w:ind w:left="0" w:firstLine="708"/>
        <w:jc w:val="both"/>
      </w:pPr>
    </w:p>
    <w:p w:rsidR="009D379F" w:rsidRDefault="009D379F" w:rsidP="00561E1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</w:pPr>
      <w:r w:rsidRPr="00995649">
        <w:rPr>
          <w:b/>
        </w:rPr>
        <w:t>Ежегодный Доклад о состоянии развития конкуренции</w:t>
      </w:r>
      <w:r>
        <w:t xml:space="preserve"> на территории Камчатского края готовится Министерством и направляется в адрес Президента Российской Федерации, в </w:t>
      </w:r>
      <w:proofErr w:type="spellStart"/>
      <w:r>
        <w:t>МинЭконом</w:t>
      </w:r>
      <w:proofErr w:type="spellEnd"/>
      <w:r>
        <w:t xml:space="preserve"> РФ в срок до 10 марта. По результатам данных, направленных в </w:t>
      </w:r>
      <w:proofErr w:type="spellStart"/>
      <w:r>
        <w:t>МинЭконом</w:t>
      </w:r>
      <w:proofErr w:type="spellEnd"/>
      <w:r>
        <w:t xml:space="preserve"> РФ</w:t>
      </w:r>
      <w:r w:rsidR="00255308">
        <w:t>,</w:t>
      </w:r>
      <w:r>
        <w:t xml:space="preserve"> формируется рейтинг регионов по уровню развития конкуренции. По результатам 2018 года, Камчатский край занимает 26 место (из 85). Результаты 2019 года будут опубликованы в декабре. </w:t>
      </w:r>
    </w:p>
    <w:p w:rsidR="00995649" w:rsidRDefault="00995649" w:rsidP="00906797">
      <w:pPr>
        <w:pStyle w:val="a3"/>
        <w:spacing w:after="0" w:line="240" w:lineRule="auto"/>
        <w:ind w:left="0" w:firstLine="851"/>
        <w:jc w:val="both"/>
      </w:pPr>
    </w:p>
    <w:p w:rsidR="00255308" w:rsidRDefault="00995649" w:rsidP="00906797">
      <w:pPr>
        <w:pStyle w:val="a3"/>
        <w:spacing w:after="0" w:line="240" w:lineRule="auto"/>
        <w:ind w:left="0" w:firstLine="851"/>
        <w:jc w:val="both"/>
      </w:pPr>
      <w:r>
        <w:t xml:space="preserve">Это основные направления работы, согласно Стандарту развития конкуренции. </w:t>
      </w:r>
    </w:p>
    <w:p w:rsidR="0013187D" w:rsidRDefault="00255308" w:rsidP="00906797">
      <w:pPr>
        <w:pStyle w:val="a3"/>
        <w:spacing w:after="0" w:line="240" w:lineRule="auto"/>
        <w:ind w:left="0" w:firstLine="851"/>
        <w:jc w:val="both"/>
      </w:pPr>
      <w:r>
        <w:t>Проблемные вопросы</w:t>
      </w:r>
      <w:r w:rsidR="00310707">
        <w:t xml:space="preserve"> внедрения Стандарта на территории МО</w:t>
      </w:r>
      <w:r>
        <w:t>:</w:t>
      </w:r>
    </w:p>
    <w:p w:rsidR="00995649" w:rsidRPr="00E065AF" w:rsidRDefault="005A22FF" w:rsidP="0099564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</w:rPr>
      </w:pPr>
      <w:r w:rsidRPr="00E065AF">
        <w:rPr>
          <w:b/>
        </w:rPr>
        <w:t>Нет изменений в НПА в части назначения ответственных лиц (или структурных подразделений).</w:t>
      </w:r>
    </w:p>
    <w:p w:rsidR="00135BDF" w:rsidRDefault="00AA57AE" w:rsidP="00906797">
      <w:pPr>
        <w:pStyle w:val="a3"/>
        <w:spacing w:after="0" w:line="240" w:lineRule="auto"/>
        <w:ind w:left="0" w:firstLine="851"/>
        <w:jc w:val="both"/>
      </w:pPr>
      <w:r>
        <w:t>Например</w:t>
      </w:r>
      <w:r w:rsidR="005A22FF">
        <w:t>,</w:t>
      </w:r>
      <w:r>
        <w:t xml:space="preserve"> данные подаются, что </w:t>
      </w:r>
      <w:r w:rsidR="005A22FF">
        <w:t xml:space="preserve">должностные лица и структурные подразделения ответственные за реализацию мер по содействию развитию конкуренции в муниципальном районе назначены, постановления/распоряжения изданы, а сами изменения в положение о </w:t>
      </w:r>
      <w:r w:rsidR="005A22FF">
        <w:lastRenderedPageBreak/>
        <w:t>структурном подразделении или должностно</w:t>
      </w:r>
      <w:r w:rsidR="00255308">
        <w:t>й регламент ответственного лица</w:t>
      </w:r>
      <w:r w:rsidR="005A22FF">
        <w:t xml:space="preserve"> не внесены. </w:t>
      </w:r>
    </w:p>
    <w:p w:rsidR="005A22FF" w:rsidRDefault="005A22FF" w:rsidP="00906797">
      <w:pPr>
        <w:pStyle w:val="a3"/>
        <w:spacing w:after="0" w:line="240" w:lineRule="auto"/>
        <w:ind w:left="0" w:firstLine="851"/>
        <w:jc w:val="both"/>
      </w:pPr>
      <w:r>
        <w:t>Т</w:t>
      </w:r>
      <w:r w:rsidR="002C7FFC">
        <w:t xml:space="preserve">акая же ситуация наблюдается с коллегиальными органами. </w:t>
      </w:r>
      <w:r w:rsidR="004829B9">
        <w:t xml:space="preserve">У </w:t>
      </w:r>
      <w:r w:rsidR="00255308">
        <w:t>некоторых</w:t>
      </w:r>
      <w:r w:rsidR="002C7FFC">
        <w:t xml:space="preserve"> </w:t>
      </w:r>
      <w:r w:rsidR="004829B9">
        <w:t>МО создан</w:t>
      </w:r>
      <w:r w:rsidR="002C7FFC">
        <w:t xml:space="preserve"> коллегиальный орган для рассмотрения вопрос</w:t>
      </w:r>
      <w:r w:rsidR="00255308">
        <w:t xml:space="preserve">ов развития конкуренции, </w:t>
      </w:r>
      <w:r w:rsidR="002C7FFC">
        <w:t>какие-то</w:t>
      </w:r>
      <w:r w:rsidR="00310707">
        <w:t xml:space="preserve"> МО</w:t>
      </w:r>
      <w:r w:rsidR="002C7FFC">
        <w:t xml:space="preserve"> закрепили функцию рассмотрения вопросов развития конкуренции за уже существующим органом, как правило</w:t>
      </w:r>
      <w:r w:rsidR="00310707">
        <w:t>,</w:t>
      </w:r>
      <w:r w:rsidR="002C7FFC">
        <w:t xml:space="preserve"> это Совет по развитию предпринимательства. </w:t>
      </w:r>
      <w:r w:rsidR="00310707">
        <w:t xml:space="preserve">Не смотря на это, </w:t>
      </w:r>
      <w:r w:rsidR="002C7FFC">
        <w:t>данные</w:t>
      </w:r>
      <w:r w:rsidR="00255308">
        <w:t xml:space="preserve"> подаются</w:t>
      </w:r>
      <w:r w:rsidR="002C7FFC">
        <w:t xml:space="preserve">, что </w:t>
      </w:r>
      <w:r w:rsidR="00E50818">
        <w:t xml:space="preserve">вопросы рассматриваются указанным Советом, </w:t>
      </w:r>
      <w:r w:rsidR="00255308">
        <w:t>однако в положении</w:t>
      </w:r>
      <w:r w:rsidR="00E50818">
        <w:t xml:space="preserve"> о Совете нет такой функции, соотв</w:t>
      </w:r>
      <w:r w:rsidR="00255308">
        <w:t>етствующие изменения не внесены, к</w:t>
      </w:r>
      <w:r w:rsidR="00E50818">
        <w:t xml:space="preserve">оллегиальный орган не правомочен. </w:t>
      </w:r>
    </w:p>
    <w:p w:rsidR="00255308" w:rsidRDefault="00255308" w:rsidP="00906797">
      <w:pPr>
        <w:pStyle w:val="a3"/>
        <w:spacing w:after="0" w:line="240" w:lineRule="auto"/>
        <w:ind w:left="0" w:firstLine="851"/>
        <w:jc w:val="both"/>
      </w:pPr>
      <w:r>
        <w:t>Внесение изменений необходимо:</w:t>
      </w:r>
    </w:p>
    <w:p w:rsidR="00E065AF" w:rsidRDefault="00E065AF" w:rsidP="00906797">
      <w:pPr>
        <w:pStyle w:val="a3"/>
        <w:spacing w:after="0" w:line="240" w:lineRule="auto"/>
        <w:ind w:left="0" w:firstLine="851"/>
        <w:jc w:val="both"/>
      </w:pPr>
      <w:r>
        <w:t>- при назначении ответственным должностного лица, изменения должны быть внесены в должност</w:t>
      </w:r>
      <w:r w:rsidR="004829B9">
        <w:t>ной регламент;</w:t>
      </w:r>
    </w:p>
    <w:p w:rsidR="00E065AF" w:rsidRDefault="00E065AF" w:rsidP="00906797">
      <w:pPr>
        <w:pStyle w:val="a3"/>
        <w:spacing w:after="0" w:line="240" w:lineRule="auto"/>
        <w:ind w:left="0" w:firstLine="851"/>
        <w:jc w:val="both"/>
      </w:pPr>
      <w:r>
        <w:t>- при назначении ответственными структурное подразделение,</w:t>
      </w:r>
      <w:r w:rsidR="004829B9">
        <w:t xml:space="preserve"> изменения вносятся в Положение;</w:t>
      </w:r>
    </w:p>
    <w:p w:rsidR="00E065AF" w:rsidRDefault="00E065AF" w:rsidP="00906797">
      <w:pPr>
        <w:pStyle w:val="a3"/>
        <w:spacing w:after="0" w:line="240" w:lineRule="auto"/>
        <w:ind w:left="0" w:firstLine="851"/>
        <w:jc w:val="both"/>
      </w:pPr>
      <w:r>
        <w:t>- необходимо внесение изменений в Положение о коллегиальном органе</w:t>
      </w:r>
      <w:r w:rsidR="004829B9">
        <w:t>.</w:t>
      </w:r>
    </w:p>
    <w:p w:rsidR="00E065AF" w:rsidRDefault="00255308" w:rsidP="00E065AF">
      <w:pPr>
        <w:pStyle w:val="a3"/>
        <w:spacing w:after="0" w:line="240" w:lineRule="auto"/>
        <w:ind w:left="0" w:firstLine="851"/>
        <w:jc w:val="both"/>
      </w:pPr>
      <w:r>
        <w:t>Прошу провести проверку НПА на предмет внесения изменений по соответствующим  пунктам.</w:t>
      </w:r>
    </w:p>
    <w:p w:rsidR="00255308" w:rsidRDefault="00255308" w:rsidP="00E065AF">
      <w:pPr>
        <w:pStyle w:val="a3"/>
        <w:spacing w:after="0" w:line="240" w:lineRule="auto"/>
        <w:ind w:left="0" w:firstLine="851"/>
        <w:jc w:val="both"/>
      </w:pPr>
    </w:p>
    <w:p w:rsidR="00906797" w:rsidRDefault="00162814" w:rsidP="00E065A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</w:pPr>
      <w:r w:rsidRPr="00E065AF">
        <w:rPr>
          <w:b/>
        </w:rPr>
        <w:t>Вопросы развития конкуренции</w:t>
      </w:r>
      <w:r w:rsidR="00AE34A1" w:rsidRPr="00E065AF">
        <w:rPr>
          <w:b/>
        </w:rPr>
        <w:t xml:space="preserve"> </w:t>
      </w:r>
      <w:r w:rsidRPr="00E065AF">
        <w:rPr>
          <w:b/>
        </w:rPr>
        <w:t>на заседаниях Советов не рассматриваются.</w:t>
      </w:r>
      <w:r>
        <w:t xml:space="preserve"> </w:t>
      </w:r>
      <w:r w:rsidR="00AE34A1">
        <w:t>Протоколы не публикуются на официальных сайтах. Работа носит формальный характер. Например, подаются да</w:t>
      </w:r>
      <w:r w:rsidR="00310707">
        <w:t>нные, что вопросы рассмотрены, но</w:t>
      </w:r>
      <w:r w:rsidR="00AE34A1">
        <w:t xml:space="preserve"> </w:t>
      </w:r>
      <w:r w:rsidR="00255308">
        <w:t xml:space="preserve">в </w:t>
      </w:r>
      <w:r w:rsidR="00AE34A1">
        <w:t>протокол</w:t>
      </w:r>
      <w:r w:rsidR="00255308">
        <w:t>е заседания</w:t>
      </w:r>
      <w:r w:rsidR="00AE34A1">
        <w:t xml:space="preserve"> к конкуренции не отнесен ни один из обсуждаемых вопросов.</w:t>
      </w:r>
    </w:p>
    <w:p w:rsidR="00AE34A1" w:rsidRDefault="00AE34A1" w:rsidP="00E065AF">
      <w:pPr>
        <w:pStyle w:val="a3"/>
        <w:spacing w:after="0" w:line="240" w:lineRule="auto"/>
        <w:ind w:left="0" w:firstLine="851"/>
        <w:jc w:val="both"/>
      </w:pPr>
      <w:r>
        <w:t>В конце каждого года необходимо разрабатывать план работы Совета на будущий год. Уважаемые коллеги, если у кого-то есть сложности с вынесением вопросов касающихся конкуренции на заседания, вы можете обратиться ко мне, мы с вами совместно рассмотрим какие проблемы можно было бы включить в повестку заседаний.</w:t>
      </w:r>
    </w:p>
    <w:p w:rsidR="00CD446F" w:rsidRDefault="00CD446F" w:rsidP="00E065AF">
      <w:pPr>
        <w:spacing w:after="0" w:line="240" w:lineRule="auto"/>
        <w:jc w:val="both"/>
      </w:pPr>
    </w:p>
    <w:p w:rsidR="00F50B40" w:rsidRDefault="00F50B40" w:rsidP="00F50B4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</w:rPr>
      </w:pPr>
      <w:r w:rsidRPr="00F50B40">
        <w:rPr>
          <w:b/>
        </w:rPr>
        <w:t xml:space="preserve">Перечень товарных рынков и мероприятия </w:t>
      </w:r>
      <w:r w:rsidR="00F37355">
        <w:rPr>
          <w:b/>
        </w:rPr>
        <w:t xml:space="preserve">ДК </w:t>
      </w:r>
      <w:r w:rsidRPr="00F50B40">
        <w:rPr>
          <w:b/>
        </w:rPr>
        <w:t xml:space="preserve">не совпадают между собой. </w:t>
      </w:r>
    </w:p>
    <w:p w:rsidR="003F432A" w:rsidRDefault="002178A4" w:rsidP="002178A4">
      <w:pPr>
        <w:pStyle w:val="a3"/>
        <w:spacing w:after="0" w:line="240" w:lineRule="auto"/>
        <w:ind w:left="0" w:firstLine="851"/>
        <w:jc w:val="both"/>
      </w:pPr>
      <w:r>
        <w:t>В подавляющем большинстве муниципальных районов</w:t>
      </w:r>
      <w:r w:rsidR="00E35330">
        <w:t xml:space="preserve"> в перечень включены одни товарные рынки</w:t>
      </w:r>
      <w:r>
        <w:t xml:space="preserve">, а </w:t>
      </w:r>
      <w:r w:rsidR="0013187D">
        <w:t>мероприятия, утвержденные в</w:t>
      </w:r>
      <w:r>
        <w:t xml:space="preserve"> </w:t>
      </w:r>
      <w:r w:rsidR="00F37355">
        <w:t>ДК</w:t>
      </w:r>
      <w:r w:rsidR="0013187D">
        <w:t xml:space="preserve">, проводятся по </w:t>
      </w:r>
      <w:r w:rsidR="0013187D" w:rsidRPr="00310707">
        <w:rPr>
          <w:b/>
        </w:rPr>
        <w:t>другим</w:t>
      </w:r>
      <w:r w:rsidR="0013187D">
        <w:t xml:space="preserve"> рынкам. </w:t>
      </w:r>
    </w:p>
    <w:p w:rsidR="002178A4" w:rsidRDefault="00EA6662" w:rsidP="002178A4">
      <w:pPr>
        <w:pStyle w:val="a3"/>
        <w:spacing w:after="0" w:line="240" w:lineRule="auto"/>
        <w:ind w:left="0" w:firstLine="851"/>
        <w:jc w:val="both"/>
      </w:pPr>
      <w:r>
        <w:t>Отрицательный п</w:t>
      </w:r>
      <w:r w:rsidR="00E35330">
        <w:t>ример: в</w:t>
      </w:r>
      <w:r w:rsidR="002178A4">
        <w:t xml:space="preserve"> муниципальном районе в перечень включены – рынок дорожной деятельности, рынок легкой промышленности, рынок семеноводства, рынок племенного животноводства. </w:t>
      </w:r>
      <w:r w:rsidR="003F432A">
        <w:t>В ДК мероприятия по развитию</w:t>
      </w:r>
      <w:r w:rsidR="002178A4">
        <w:t xml:space="preserve"> конкуренции на рынк</w:t>
      </w:r>
      <w:r w:rsidR="00E35330">
        <w:t>е дошкольного образования, рынке муниципальных перевозок, рынке</w:t>
      </w:r>
      <w:r w:rsidR="002178A4">
        <w:t xml:space="preserve"> розничной торговли. </w:t>
      </w:r>
      <w:r>
        <w:t>Каким образом</w:t>
      </w:r>
      <w:r w:rsidR="003F432A">
        <w:t xml:space="preserve"> установленный</w:t>
      </w:r>
      <w:r>
        <w:t xml:space="preserve"> показатель из Перечня будет достигнут? </w:t>
      </w:r>
    </w:p>
    <w:p w:rsidR="0033286C" w:rsidRDefault="007B55D4" w:rsidP="007B55D4">
      <w:pPr>
        <w:pStyle w:val="a3"/>
        <w:spacing w:after="0" w:line="240" w:lineRule="auto"/>
        <w:ind w:left="0" w:firstLine="851"/>
        <w:jc w:val="both"/>
      </w:pPr>
      <w:r>
        <w:t>Давайте разберем на конкретном примере.</w:t>
      </w:r>
    </w:p>
    <w:p w:rsidR="007B55D4" w:rsidRDefault="007B55D4" w:rsidP="007B55D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b/>
        </w:rPr>
      </w:pPr>
      <w:r>
        <w:t xml:space="preserve">Разрабатываем Перечень товарных рынков для развития конкуренции. Для этого берем Перечень, который предлагает нам Стандарт. К примеру, возьмем рынок дополнительного образования детей с ключевым </w:t>
      </w:r>
      <w:r>
        <w:lastRenderedPageBreak/>
        <w:t>показателем «Доля организаций частной формы собственности в сфере услуг дополнительного образования детей, процентов – 5% к 2022 году». Название рынка</w:t>
      </w:r>
      <w:r w:rsidR="00297C34">
        <w:t xml:space="preserve">, название ключевого показателя </w:t>
      </w:r>
      <w:r>
        <w:t xml:space="preserve">– </w:t>
      </w:r>
      <w:r w:rsidRPr="00F37355">
        <w:rPr>
          <w:b/>
        </w:rPr>
        <w:t xml:space="preserve">строго как в Стандарте. </w:t>
      </w:r>
    </w:p>
    <w:p w:rsidR="00EA6662" w:rsidRDefault="00EA6662" w:rsidP="00EA6662">
      <w:pPr>
        <w:pStyle w:val="a3"/>
        <w:spacing w:after="0" w:line="240" w:lineRule="auto"/>
        <w:ind w:left="0" w:firstLine="851"/>
        <w:jc w:val="both"/>
      </w:pPr>
      <w:r>
        <w:t xml:space="preserve">Затем разрабатываем план мероприятий </w:t>
      </w:r>
      <w:r w:rsidR="00F37355">
        <w:t>ДК</w:t>
      </w:r>
      <w:r>
        <w:t xml:space="preserve"> по развитию конкуренции. Прописываем конкретные мероприятия именно для рынка дополнительного образования детей с показателем доля частного сектора на рынке.</w:t>
      </w:r>
    </w:p>
    <w:p w:rsidR="002A1201" w:rsidRDefault="002A1201" w:rsidP="00F37355">
      <w:pPr>
        <w:pStyle w:val="a3"/>
        <w:spacing w:after="0" w:line="240" w:lineRule="auto"/>
        <w:ind w:left="0" w:firstLine="851"/>
        <w:jc w:val="both"/>
      </w:pPr>
      <w:r>
        <w:t>Мероприятия нет необходимости выдумывать из головы – существуют методические рекомендации ФАС, практики других регио</w:t>
      </w:r>
      <w:r w:rsidR="00F37355">
        <w:t>нов, региональная ДК</w:t>
      </w:r>
      <w:r>
        <w:t>. Мероприятия должны быть долгосрочными и обязательно, обращаю ваше внимание, иметь ПОК</w:t>
      </w:r>
      <w:r w:rsidR="00F37355">
        <w:t>А</w:t>
      </w:r>
      <w:r>
        <w:t>ЗАТЕЛИ. Показатели – это элементы оценк</w:t>
      </w:r>
      <w:r w:rsidR="0033286C">
        <w:t xml:space="preserve">и результативности мероприятий, предусмотренных </w:t>
      </w:r>
      <w:r w:rsidR="00F37355">
        <w:t>ДК</w:t>
      </w:r>
      <w:r w:rsidR="0033286C">
        <w:t>.</w:t>
      </w:r>
    </w:p>
    <w:p w:rsidR="00F37355" w:rsidRDefault="00F37355" w:rsidP="00F37355">
      <w:pPr>
        <w:spacing w:after="0" w:line="240" w:lineRule="auto"/>
        <w:ind w:firstLine="709"/>
        <w:jc w:val="both"/>
      </w:pPr>
      <w:r>
        <w:t>В подавляющем большинстве муниципальных дорожных карт отсутствуют показатели, как ключевой показатель в Перечне, так и промежуточные показатели по мероприятиям ДК.</w:t>
      </w:r>
    </w:p>
    <w:p w:rsidR="002E66DA" w:rsidRDefault="002E66DA" w:rsidP="00F37355">
      <w:pPr>
        <w:spacing w:after="0" w:line="240" w:lineRule="auto"/>
        <w:ind w:firstLine="709"/>
        <w:jc w:val="both"/>
      </w:pPr>
      <w:r>
        <w:t>Хотелось бы ещё отметить, что в показателях, которые прописаны в ДК, отсутствует динамика.</w:t>
      </w:r>
    </w:p>
    <w:p w:rsidR="00F37355" w:rsidRDefault="00F37355" w:rsidP="00F37355">
      <w:pPr>
        <w:spacing w:after="0" w:line="240" w:lineRule="auto"/>
        <w:ind w:firstLine="709"/>
        <w:jc w:val="both"/>
      </w:pPr>
      <w:r>
        <w:t>Перечень товарных рынков и ДК</w:t>
      </w:r>
      <w:r w:rsidR="00D06FD1">
        <w:t xml:space="preserve"> согласовываются с уполномоченным органом (с Министерством) и</w:t>
      </w:r>
      <w:r>
        <w:t xml:space="preserve"> утверждаются нормативно-правовым актом</w:t>
      </w:r>
      <w:r w:rsidR="00D06FD1">
        <w:t>.</w:t>
      </w:r>
    </w:p>
    <w:p w:rsidR="003F432A" w:rsidRDefault="00D06FD1" w:rsidP="003F432A">
      <w:pPr>
        <w:spacing w:after="0" w:line="240" w:lineRule="auto"/>
        <w:ind w:firstLine="709"/>
        <w:jc w:val="both"/>
      </w:pPr>
      <w:r>
        <w:t xml:space="preserve">У многих </w:t>
      </w:r>
      <w:r w:rsidR="00310707">
        <w:t>МО</w:t>
      </w:r>
      <w:r w:rsidR="003F432A">
        <w:t xml:space="preserve"> существует проблема с нормативно-правовыми актами, которыми утверждены ДК и Перечень</w:t>
      </w:r>
      <w:r>
        <w:t xml:space="preserve">. </w:t>
      </w:r>
      <w:r w:rsidR="003F432A">
        <w:t xml:space="preserve">Большое количество </w:t>
      </w:r>
      <w:r>
        <w:t>распоряжений, постановлений, которые дублируют друг друга, которые передают полномочия, утверждают перечень товарных рынков, потом ДК, в процессе внесения изменений где-то случайно что-то отменяется.</w:t>
      </w:r>
      <w:r w:rsidR="000C5011">
        <w:t xml:space="preserve"> </w:t>
      </w:r>
    </w:p>
    <w:p w:rsidR="00310707" w:rsidRDefault="00310707" w:rsidP="003F432A">
      <w:pPr>
        <w:spacing w:after="0" w:line="240" w:lineRule="auto"/>
        <w:ind w:firstLine="709"/>
        <w:jc w:val="both"/>
      </w:pPr>
    </w:p>
    <w:p w:rsidR="00443EDC" w:rsidRPr="003F432A" w:rsidRDefault="00443EDC" w:rsidP="003F432A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3F432A">
        <w:rPr>
          <w:b/>
        </w:rPr>
        <w:t>Обоснование выбора товарного рынка.</w:t>
      </w:r>
    </w:p>
    <w:p w:rsidR="00443EDC" w:rsidRDefault="00443EDC" w:rsidP="00443EDC">
      <w:pPr>
        <w:pStyle w:val="a3"/>
        <w:tabs>
          <w:tab w:val="left" w:pos="1276"/>
          <w:tab w:val="left" w:pos="1418"/>
        </w:tabs>
        <w:spacing w:after="0" w:line="240" w:lineRule="auto"/>
        <w:ind w:left="0" w:firstLine="851"/>
        <w:jc w:val="both"/>
      </w:pPr>
      <w:r w:rsidRPr="006F349B">
        <w:t>Дело в том, что нам не только необходимо выбрать рынок из Перечня для развития</w:t>
      </w:r>
      <w:r>
        <w:t xml:space="preserve"> на нем конкуренции, нам нужно понимать</w:t>
      </w:r>
      <w:r w:rsidR="003F432A">
        <w:t>,</w:t>
      </w:r>
      <w:r>
        <w:t xml:space="preserve"> почему именно этот рынок мы выбираем. </w:t>
      </w:r>
    </w:p>
    <w:p w:rsidR="00443EDC" w:rsidRDefault="003F432A" w:rsidP="00443EDC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М</w:t>
      </w:r>
      <w:r w:rsidR="00443EDC">
        <w:t>етодика определения товарного рынка</w:t>
      </w:r>
      <w:r>
        <w:t xml:space="preserve"> говорит нам о том, что </w:t>
      </w:r>
      <w:r w:rsidR="00443EDC">
        <w:t>если</w:t>
      </w:r>
      <w:r w:rsidR="00310707">
        <w:t xml:space="preserve"> </w:t>
      </w:r>
      <w:r w:rsidR="00443EDC">
        <w:t xml:space="preserve"> </w:t>
      </w:r>
      <w:r w:rsidR="00310707">
        <w:t>наблюдаются фактические показатели на рынках</w:t>
      </w:r>
      <w:r w:rsidR="00443EDC">
        <w:t xml:space="preserve"> НИЖЕ минимального значени</w:t>
      </w:r>
      <w:r w:rsidR="00310707">
        <w:t>я, указанного в Стандарте, рынки</w:t>
      </w:r>
      <w:r w:rsidR="00443EDC">
        <w:t xml:space="preserve"> автомат</w:t>
      </w:r>
      <w:r w:rsidR="00310707">
        <w:t>ически включаю</w:t>
      </w:r>
      <w:r w:rsidR="00443EDC">
        <w:t xml:space="preserve">тся в перечень для развития конкуренции. Например, мы ещё не начинали разрабатывать перечень и только задумались о том, чтобы отобрать в него товарные рынки. Для начала проводим анализ товарных рынков, которые </w:t>
      </w:r>
      <w:r>
        <w:t xml:space="preserve">осуществляют </w:t>
      </w:r>
      <w:r w:rsidRPr="00310707">
        <w:rPr>
          <w:b/>
        </w:rPr>
        <w:t>фактическую деятельность</w:t>
      </w:r>
      <w:r>
        <w:t xml:space="preserve"> на </w:t>
      </w:r>
      <w:r w:rsidR="00443EDC">
        <w:t xml:space="preserve">территории муниципального района. Например, рынок услуг </w:t>
      </w:r>
      <w:r w:rsidR="0008395A">
        <w:t>дополнительного</w:t>
      </w:r>
      <w:r w:rsidR="00443EDC">
        <w:t xml:space="preserve"> образования</w:t>
      </w:r>
      <w:r w:rsidR="00310707">
        <w:t xml:space="preserve"> детей</w:t>
      </w:r>
      <w:r w:rsidR="00443EDC">
        <w:t xml:space="preserve">. В Стандарте минимальным значением указаны 5% (доля частного сектора). Если на момент наполнения Перечня на этом товарном рынке значение НИЖЕ 5%, мы обязаны его включить. Таким образом наполняется перечень товарных рынков. </w:t>
      </w:r>
    </w:p>
    <w:p w:rsidR="0008395A" w:rsidRDefault="00310707" w:rsidP="00443EDC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 xml:space="preserve">Однако, конечно же, </w:t>
      </w:r>
      <w:r w:rsidR="0008395A">
        <w:t xml:space="preserve">мы понимаем, что если следовать этой логике, то все, предложенные Стандартом, рынки, а их 41, должны быть включены в муниципальный перечень. Поэтому я ещё раз обращаю внимание, что мы выбираем те рынки, которые </w:t>
      </w:r>
      <w:r w:rsidR="0008395A" w:rsidRPr="0008395A">
        <w:rPr>
          <w:b/>
        </w:rPr>
        <w:t>фактически существуют на территории МО</w:t>
      </w:r>
      <w:r w:rsidR="0008395A">
        <w:t>.</w:t>
      </w:r>
    </w:p>
    <w:p w:rsidR="00443EDC" w:rsidRDefault="00443EDC" w:rsidP="00443EDC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lastRenderedPageBreak/>
        <w:t>Обоснованием</w:t>
      </w:r>
      <w:r w:rsidR="003F432A">
        <w:t xml:space="preserve"> включения рынка в перечень</w:t>
      </w:r>
      <w:r>
        <w:t xml:space="preserve"> в данном случае является нехватка частных организаций, при условии (например) недостаточности услуг, предоставляемых государственными организациями. Либо услуги могут быть востребованы у населения, а организаций в принципе нет на территории района. </w:t>
      </w:r>
    </w:p>
    <w:p w:rsidR="00F37355" w:rsidRPr="00443EDC" w:rsidRDefault="000C5011" w:rsidP="00443EDC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443EDC">
        <w:rPr>
          <w:b/>
        </w:rPr>
        <w:t>Об основных товарных рынках и дополнительных.</w:t>
      </w:r>
    </w:p>
    <w:p w:rsidR="000C5011" w:rsidRDefault="000C5011" w:rsidP="000C5011">
      <w:pPr>
        <w:pStyle w:val="a3"/>
        <w:spacing w:after="0" w:line="240" w:lineRule="auto"/>
        <w:ind w:left="0" w:firstLine="851"/>
        <w:jc w:val="both"/>
      </w:pPr>
      <w:r>
        <w:t>Необходимо ещё раз отметить, что по новому Стандарту товарные рынки больше не делятся на «приоритетные» и «социально значимые». Тем не менее существует некоторое деление на рынки основные и дополнительные. Это связано с тем, что Стандарт предлагает нам 41 товарный рынок с обязательным условием, что каждый регион отбирает себе не менее 80% из этого списка, то есть 33 товарных рынка. Они являются обязательными. Одновременно с этим, регион может из этого же Перечня выбрать себе дополнительные рынки, они могут иметь показатель, отличающийся от Стандарта, иметь иное наименование.</w:t>
      </w:r>
    </w:p>
    <w:p w:rsidR="003F432A" w:rsidRDefault="003F432A" w:rsidP="003F432A">
      <w:pPr>
        <w:pStyle w:val="a3"/>
        <w:spacing w:after="0" w:line="240" w:lineRule="auto"/>
        <w:ind w:left="1211"/>
        <w:jc w:val="both"/>
        <w:rPr>
          <w:b/>
        </w:rPr>
      </w:pPr>
    </w:p>
    <w:p w:rsidR="000C5011" w:rsidRPr="006F349B" w:rsidRDefault="001624E9" w:rsidP="00443EDC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6F349B">
        <w:rPr>
          <w:b/>
        </w:rPr>
        <w:t>Отчетность по ДК.</w:t>
      </w:r>
    </w:p>
    <w:p w:rsidR="001624E9" w:rsidRDefault="001624E9" w:rsidP="001624E9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В соответствии с Распоряжением Правительства Камчатского края от 11.10.2019 № 447 предоставление отчетов о ходе реализации дорожной карты осуществляется ежеквартально до 10 числа месяца, следующего за отчетным кварталом.</w:t>
      </w:r>
    </w:p>
    <w:p w:rsidR="00443EDC" w:rsidRDefault="00443EDC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</w:p>
    <w:p w:rsidR="00D565B0" w:rsidRDefault="00D565B0" w:rsidP="00D565B0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jc w:val="both"/>
        <w:rPr>
          <w:b/>
        </w:rPr>
      </w:pPr>
      <w:r w:rsidRPr="00D565B0">
        <w:rPr>
          <w:b/>
        </w:rPr>
        <w:t>Размещение на сайте информации.</w:t>
      </w:r>
    </w:p>
    <w:p w:rsidR="00D565B0" w:rsidRDefault="00D565B0" w:rsidP="00D565B0">
      <w:pPr>
        <w:tabs>
          <w:tab w:val="left" w:pos="993"/>
          <w:tab w:val="left" w:pos="1418"/>
        </w:tabs>
        <w:spacing w:after="0" w:line="240" w:lineRule="auto"/>
        <w:jc w:val="both"/>
      </w:pPr>
      <w:r>
        <w:rPr>
          <w:b/>
        </w:rPr>
        <w:tab/>
      </w:r>
      <w:r>
        <w:t>Основная претензия касается в первую очередь не актуализированных данных –</w:t>
      </w:r>
      <w:r w:rsidR="003F432A">
        <w:t xml:space="preserve"> </w:t>
      </w:r>
      <w:r>
        <w:t>старые нормативно-правовые акты, которые уже утратили силу, на отсутствие размещения отчетов и перечня с дорожной картой.</w:t>
      </w:r>
    </w:p>
    <w:p w:rsidR="0008395A" w:rsidRDefault="00D565B0" w:rsidP="00D565B0">
      <w:pPr>
        <w:tabs>
          <w:tab w:val="left" w:pos="993"/>
          <w:tab w:val="left" w:pos="1418"/>
        </w:tabs>
        <w:spacing w:after="0" w:line="240" w:lineRule="auto"/>
        <w:jc w:val="both"/>
      </w:pPr>
      <w:r>
        <w:tab/>
      </w:r>
    </w:p>
    <w:p w:rsidR="0008395A" w:rsidRDefault="0008395A" w:rsidP="0008395A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Переходим к третьему блоку, в котором разберем, какие преобразования нас ждут, какие нововведения нам необходимо сделать, чтобы оптимизировать работу, чтобы она была единообразна, понятна и соответствовала требованиям Стандарта.</w:t>
      </w:r>
    </w:p>
    <w:p w:rsidR="0008395A" w:rsidRDefault="0008395A" w:rsidP="0008395A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</w:p>
    <w:p w:rsidR="006C61B8" w:rsidRDefault="0008395A" w:rsidP="006C61B8">
      <w:pPr>
        <w:pStyle w:val="a3"/>
        <w:numPr>
          <w:ilvl w:val="0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 xml:space="preserve">Первое, что нам необходимо сделать, это унифицировать форму Перечня товарных рынков и дорожных карт. </w:t>
      </w:r>
      <w:r w:rsidR="003F432A">
        <w:t>С</w:t>
      </w:r>
      <w:r>
        <w:t>читаю целесообразным ввести единую форму для всех муниципальных районов, признав утратившими силу всех НПА, которыми утверждены</w:t>
      </w:r>
      <w:r w:rsidR="006C61B8">
        <w:t xml:space="preserve"> в на</w:t>
      </w:r>
      <w:r w:rsidR="00297C34">
        <w:t>стоящий момент наши перечни и ДК</w:t>
      </w:r>
      <w:r w:rsidR="006C61B8">
        <w:t>.</w:t>
      </w:r>
      <w:r w:rsidR="008F17A8">
        <w:t xml:space="preserve">   </w:t>
      </w:r>
    </w:p>
    <w:p w:rsidR="003F432A" w:rsidRDefault="003F432A" w:rsidP="006C61B8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rPr>
          <w:b/>
        </w:rPr>
        <w:t>Единая форма</w:t>
      </w:r>
      <w:r w:rsidR="006C61B8">
        <w:t xml:space="preserve"> для всех муни</w:t>
      </w:r>
      <w:r w:rsidR="001A6190">
        <w:t>ципальных районов разработана</w:t>
      </w:r>
      <w:r>
        <w:t xml:space="preserve"> (приложение 1).</w:t>
      </w:r>
    </w:p>
    <w:p w:rsidR="00D565B0" w:rsidRDefault="006C61B8" w:rsidP="006C61B8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 xml:space="preserve">Первое, на что я обращу ваше внимание, </w:t>
      </w:r>
      <w:r w:rsidR="00310707">
        <w:t>это то, что</w:t>
      </w:r>
      <w:r>
        <w:t xml:space="preserve"> Перечень, обоснование выбора товарного рынка и план мероприятий «дорожная карта» теп</w:t>
      </w:r>
      <w:r w:rsidR="008A74CC">
        <w:t>ерь будут утверждены единым НПА</w:t>
      </w:r>
      <w:r>
        <w:t xml:space="preserve">. </w:t>
      </w:r>
    </w:p>
    <w:p w:rsidR="001A6190" w:rsidRDefault="00FA73C5" w:rsidP="00FA73C5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>Форма муниципальной ДК включает в себя системные мероприятия и</w:t>
      </w:r>
      <w:r w:rsidR="008A74CC">
        <w:t>з региональной дорожной карты (э</w:t>
      </w:r>
      <w:r>
        <w:t>то те мероприятия, по которым исполнителями являются не только ИОГВ, но и ОМС</w:t>
      </w:r>
      <w:r w:rsidR="008A74CC">
        <w:t>)</w:t>
      </w:r>
      <w:r>
        <w:t xml:space="preserve">. Вносить изменения в эти мероприятия нельзя, так как они уже утверждены на федеральном уровне. </w:t>
      </w:r>
      <w:r w:rsidR="001A6190">
        <w:lastRenderedPageBreak/>
        <w:t>Есть возможность исключить себя из исполнителей в случае, если мероприятия на территории МО реализовать нет возможности.</w:t>
      </w:r>
    </w:p>
    <w:p w:rsidR="00FA73C5" w:rsidRDefault="001A6190" w:rsidP="00FA73C5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>В случае необходимости включения в муниципальную ДК системных мероприятий</w:t>
      </w:r>
      <w:r w:rsidR="00FA73C5">
        <w:t xml:space="preserve"> именно на муниципальном уровне, </w:t>
      </w:r>
      <w:r>
        <w:t xml:space="preserve">есть возможность </w:t>
      </w:r>
      <w:r w:rsidR="00FA73C5">
        <w:t>скорректировать уже имеющиеся мероприятия или написать свои собственные.</w:t>
      </w:r>
    </w:p>
    <w:p w:rsidR="00FA73C5" w:rsidRDefault="00FA73C5" w:rsidP="00FA73C5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>Так</w:t>
      </w:r>
      <w:r w:rsidR="00D9082D">
        <w:t xml:space="preserve"> </w:t>
      </w:r>
      <w:r>
        <w:t>же</w:t>
      </w:r>
      <w:r w:rsidR="00D9082D">
        <w:t>,</w:t>
      </w:r>
      <w:r>
        <w:t xml:space="preserve"> как и в региональной ДК, сразу под системными мероприятиями идут мероприятия по товарным рынкам, которые</w:t>
      </w:r>
      <w:r w:rsidR="00D9082D">
        <w:t xml:space="preserve"> </w:t>
      </w:r>
      <w:r>
        <w:t>у нас</w:t>
      </w:r>
      <w:r w:rsidR="008A74CC">
        <w:t xml:space="preserve"> присутствуют</w:t>
      </w:r>
      <w:r>
        <w:t xml:space="preserve"> в Перечне.</w:t>
      </w:r>
    </w:p>
    <w:p w:rsidR="008A74CC" w:rsidRDefault="001A6190" w:rsidP="00FA73C5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 xml:space="preserve">В форме ДК </w:t>
      </w:r>
      <w:r w:rsidR="00FA73C5">
        <w:t xml:space="preserve">обязательно </w:t>
      </w:r>
      <w:r w:rsidR="008A74CC">
        <w:t>проставляется</w:t>
      </w:r>
      <w:r w:rsidR="00FA73C5">
        <w:t xml:space="preserve"> ключевой показатель, а также промежуточные показатели. </w:t>
      </w:r>
      <w:r w:rsidR="00782A9C">
        <w:t>Возможно</w:t>
      </w:r>
      <w:r w:rsidR="00FA73C5">
        <w:t xml:space="preserve"> перенести мероприятия из дорожных карт, действующих в настоящий момент, в новую форму. </w:t>
      </w:r>
      <w:bookmarkStart w:id="0" w:name="_GoBack"/>
      <w:bookmarkEnd w:id="0"/>
    </w:p>
    <w:p w:rsidR="00851EAF" w:rsidRDefault="00FA73C5" w:rsidP="00FA73C5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 xml:space="preserve">Хочу обратить Ваше внимание, что </w:t>
      </w:r>
      <w:r w:rsidR="00851EAF">
        <w:t>согласно Стандарту, ДК у нас действует до 01.01.2022 года, однако я уверена, что в ближайшее время будет внесены изменения, в соответствии с которыми действие</w:t>
      </w:r>
      <w:r w:rsidR="004958CE">
        <w:t xml:space="preserve"> ДК</w:t>
      </w:r>
      <w:r w:rsidR="00851EAF">
        <w:t xml:space="preserve"> будет продлено. Как на региональном, так и на муниципальном уровне.</w:t>
      </w:r>
    </w:p>
    <w:p w:rsidR="009A426A" w:rsidRDefault="00782A9C" w:rsidP="009A426A">
      <w:pPr>
        <w:pStyle w:val="a3"/>
        <w:spacing w:after="0" w:line="240" w:lineRule="auto"/>
        <w:ind w:left="0" w:firstLine="851"/>
        <w:jc w:val="both"/>
      </w:pPr>
      <w:r>
        <w:t xml:space="preserve">Для работы по наполнению ДК нужно </w:t>
      </w:r>
      <w:r w:rsidR="00851EAF">
        <w:t>использовать региональную дорожную карту, практик</w:t>
      </w:r>
      <w:r>
        <w:t>и других регионов, методику ФАС.</w:t>
      </w:r>
      <w:r w:rsidR="00851EAF">
        <w:t xml:space="preserve"> </w:t>
      </w:r>
    </w:p>
    <w:p w:rsidR="00297C34" w:rsidRDefault="00297C34" w:rsidP="00782A9C">
      <w:pPr>
        <w:pStyle w:val="a3"/>
        <w:spacing w:after="0" w:line="240" w:lineRule="auto"/>
        <w:ind w:left="0" w:firstLine="851"/>
        <w:jc w:val="both"/>
      </w:pPr>
      <w:r>
        <w:t xml:space="preserve">Здесь стоит отметить, что ключевые показатели, предусмотренные в Стандарте, устанавливаются на край. То есть в уже указанный показатель, включены и результаты муниципальных районов. Несмотря на это, при расчете показателя советую пользоваться Методикой расчета ключевых показателей, предложенных ФАС, так как значениями расчета там являются - общее количество предприятий и количество предприятий частной формы собственности. </w:t>
      </w:r>
    </w:p>
    <w:p w:rsidR="00782A9C" w:rsidRDefault="00782A9C" w:rsidP="00782A9C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Указанную работу по формированию новых муниципальных ДК необходимо провести в срок до февраля 2021 года. В течение декабря месяца - разработать форму и согласовать её с Министерством. До февраля – утвердить согласованную форму соответствующим НПА.</w:t>
      </w:r>
    </w:p>
    <w:p w:rsidR="00380030" w:rsidRDefault="00380030" w:rsidP="00F220B9">
      <w:pPr>
        <w:tabs>
          <w:tab w:val="left" w:pos="993"/>
          <w:tab w:val="left" w:pos="1418"/>
        </w:tabs>
        <w:spacing w:after="0" w:line="240" w:lineRule="auto"/>
        <w:jc w:val="both"/>
      </w:pPr>
      <w:r>
        <w:tab/>
        <w:t>Отчет по дорожной карте</w:t>
      </w:r>
      <w:r w:rsidR="004829B9">
        <w:t xml:space="preserve"> в соответствии с новой формой будет подготовлен в ближайшее время. Отчет</w:t>
      </w:r>
      <w:r>
        <w:t xml:space="preserve"> будет ОДИН, в связи с тем, что в новой форме, для удобства, мы объединим мероприятия из муниципальной и региональной ДК.</w:t>
      </w:r>
    </w:p>
    <w:p w:rsidR="008A74CC" w:rsidRDefault="008A74CC" w:rsidP="008A74CC">
      <w:pPr>
        <w:tabs>
          <w:tab w:val="left" w:pos="993"/>
          <w:tab w:val="left" w:pos="1418"/>
        </w:tabs>
        <w:spacing w:after="0" w:line="240" w:lineRule="auto"/>
        <w:ind w:firstLine="993"/>
        <w:jc w:val="both"/>
      </w:pPr>
      <w:r>
        <w:t>Официальное письмо в адрес глав МО, о необходимости проведения указанной работы, будет направлено в ближайшее время.</w:t>
      </w:r>
    </w:p>
    <w:p w:rsidR="004958CE" w:rsidRDefault="004958CE" w:rsidP="00782A9C">
      <w:pPr>
        <w:tabs>
          <w:tab w:val="left" w:pos="993"/>
          <w:tab w:val="left" w:pos="1418"/>
        </w:tabs>
        <w:spacing w:after="0" w:line="240" w:lineRule="auto"/>
        <w:jc w:val="both"/>
      </w:pPr>
    </w:p>
    <w:p w:rsidR="004958CE" w:rsidRDefault="004958CE" w:rsidP="009A426A">
      <w:pPr>
        <w:pStyle w:val="a3"/>
        <w:numPr>
          <w:ilvl w:val="0"/>
          <w:numId w:val="10"/>
        </w:numPr>
        <w:tabs>
          <w:tab w:val="left" w:pos="993"/>
          <w:tab w:val="left" w:pos="1418"/>
        </w:tabs>
        <w:spacing w:after="0" w:line="240" w:lineRule="auto"/>
        <w:ind w:left="0" w:firstLine="851"/>
        <w:jc w:val="both"/>
      </w:pPr>
      <w:r>
        <w:t xml:space="preserve">Со следующего года всем муниципальным районам необходимо предоставлять в Министерство </w:t>
      </w:r>
      <w:r w:rsidRPr="009A426A">
        <w:rPr>
          <w:b/>
        </w:rPr>
        <w:t>Доклад о развитии конкуренции</w:t>
      </w:r>
      <w:r>
        <w:t xml:space="preserve"> на территории муниципального района за отчетный год. Структура доклада будет разработана и направлена в муниципальные районы заблаговременно. </w:t>
      </w:r>
    </w:p>
    <w:p w:rsidR="004958CE" w:rsidRDefault="004958CE" w:rsidP="009A426A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Эта информация необходима:</w:t>
      </w:r>
    </w:p>
    <w:p w:rsidR="004958CE" w:rsidRDefault="004958CE" w:rsidP="009A426A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- для того, чтобы Министерство, как курирующий орган, имело полную информацию о проводимой</w:t>
      </w:r>
      <w:r w:rsidR="009A426A">
        <w:t xml:space="preserve"> на территории муниципального образования</w:t>
      </w:r>
      <w:r>
        <w:t xml:space="preserve"> работе</w:t>
      </w:r>
      <w:r w:rsidR="009A426A">
        <w:t xml:space="preserve"> в части развития конкуренции, а также об имеющихся проблемах;</w:t>
      </w:r>
    </w:p>
    <w:p w:rsidR="009A426A" w:rsidRDefault="009A426A" w:rsidP="009A426A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- для предоставления оперативных отчетов по запросам Зампредов;</w:t>
      </w:r>
    </w:p>
    <w:p w:rsidR="00FA73C5" w:rsidRPr="000C5011" w:rsidRDefault="009A426A" w:rsidP="008A74CC">
      <w:pPr>
        <w:tabs>
          <w:tab w:val="left" w:pos="993"/>
          <w:tab w:val="left" w:pos="1418"/>
        </w:tabs>
        <w:spacing w:after="0" w:line="240" w:lineRule="auto"/>
        <w:ind w:firstLine="851"/>
        <w:jc w:val="both"/>
      </w:pPr>
      <w:r>
        <w:t>- для включения информации в ежегодный Доклад Президенту РФ.</w:t>
      </w:r>
    </w:p>
    <w:sectPr w:rsidR="00FA73C5" w:rsidRPr="000C5011" w:rsidSect="00E637B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747"/>
    <w:multiLevelType w:val="hybridMultilevel"/>
    <w:tmpl w:val="7F5A226E"/>
    <w:lvl w:ilvl="0" w:tplc="0B121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A91F70"/>
    <w:multiLevelType w:val="hybridMultilevel"/>
    <w:tmpl w:val="A98E18A4"/>
    <w:lvl w:ilvl="0" w:tplc="E2EAEB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9D6BDB"/>
    <w:multiLevelType w:val="hybridMultilevel"/>
    <w:tmpl w:val="1A4AD23C"/>
    <w:lvl w:ilvl="0" w:tplc="B6989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9A0E6F"/>
    <w:multiLevelType w:val="hybridMultilevel"/>
    <w:tmpl w:val="6C68567E"/>
    <w:lvl w:ilvl="0" w:tplc="0E841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4D29EB"/>
    <w:multiLevelType w:val="multilevel"/>
    <w:tmpl w:val="51B88366"/>
    <w:lvl w:ilvl="0">
      <w:start w:val="1"/>
      <w:numFmt w:val="decimal"/>
      <w:lvlText w:val="%1."/>
      <w:lvlJc w:val="left"/>
      <w:pPr>
        <w:ind w:left="6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F94ADF"/>
    <w:multiLevelType w:val="hybridMultilevel"/>
    <w:tmpl w:val="071C0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39F7"/>
    <w:multiLevelType w:val="hybridMultilevel"/>
    <w:tmpl w:val="1FFEB120"/>
    <w:lvl w:ilvl="0" w:tplc="036EE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A06910"/>
    <w:multiLevelType w:val="hybridMultilevel"/>
    <w:tmpl w:val="371A27A2"/>
    <w:lvl w:ilvl="0" w:tplc="036EE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A705F90"/>
    <w:multiLevelType w:val="hybridMultilevel"/>
    <w:tmpl w:val="371A27A2"/>
    <w:lvl w:ilvl="0" w:tplc="036EE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BC45B11"/>
    <w:multiLevelType w:val="hybridMultilevel"/>
    <w:tmpl w:val="C0C60850"/>
    <w:lvl w:ilvl="0" w:tplc="92A2B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E07CC8"/>
    <w:multiLevelType w:val="hybridMultilevel"/>
    <w:tmpl w:val="61A68FBA"/>
    <w:lvl w:ilvl="0" w:tplc="D484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4"/>
    <w:rsid w:val="0008395A"/>
    <w:rsid w:val="000A79F7"/>
    <w:rsid w:val="000C5011"/>
    <w:rsid w:val="0013187D"/>
    <w:rsid w:val="00135BDF"/>
    <w:rsid w:val="001624E9"/>
    <w:rsid w:val="00162814"/>
    <w:rsid w:val="001A6190"/>
    <w:rsid w:val="001B2FF4"/>
    <w:rsid w:val="00206E76"/>
    <w:rsid w:val="002178A4"/>
    <w:rsid w:val="00226D97"/>
    <w:rsid w:val="00241C97"/>
    <w:rsid w:val="00255308"/>
    <w:rsid w:val="002874FF"/>
    <w:rsid w:val="00297C34"/>
    <w:rsid w:val="002A1201"/>
    <w:rsid w:val="002C7FFC"/>
    <w:rsid w:val="002E66DA"/>
    <w:rsid w:val="002F3CC0"/>
    <w:rsid w:val="00310707"/>
    <w:rsid w:val="0033286C"/>
    <w:rsid w:val="00380030"/>
    <w:rsid w:val="0039746D"/>
    <w:rsid w:val="003A3F5D"/>
    <w:rsid w:val="003F432A"/>
    <w:rsid w:val="004234FC"/>
    <w:rsid w:val="00443EDC"/>
    <w:rsid w:val="004829B9"/>
    <w:rsid w:val="004958CE"/>
    <w:rsid w:val="00561E13"/>
    <w:rsid w:val="00565386"/>
    <w:rsid w:val="005A22FF"/>
    <w:rsid w:val="0065372C"/>
    <w:rsid w:val="00696ADE"/>
    <w:rsid w:val="006C1EEA"/>
    <w:rsid w:val="006C61B8"/>
    <w:rsid w:val="006E21A1"/>
    <w:rsid w:val="006F349B"/>
    <w:rsid w:val="00702240"/>
    <w:rsid w:val="00706CAD"/>
    <w:rsid w:val="00774FDB"/>
    <w:rsid w:val="00780F39"/>
    <w:rsid w:val="00782A9C"/>
    <w:rsid w:val="007B00C2"/>
    <w:rsid w:val="007B55D4"/>
    <w:rsid w:val="00801D64"/>
    <w:rsid w:val="00851EAF"/>
    <w:rsid w:val="008A74CC"/>
    <w:rsid w:val="008B169F"/>
    <w:rsid w:val="008C0505"/>
    <w:rsid w:val="008F17A8"/>
    <w:rsid w:val="00906797"/>
    <w:rsid w:val="009211BD"/>
    <w:rsid w:val="00995649"/>
    <w:rsid w:val="00996082"/>
    <w:rsid w:val="009A426A"/>
    <w:rsid w:val="009D379F"/>
    <w:rsid w:val="00A24138"/>
    <w:rsid w:val="00A54C2B"/>
    <w:rsid w:val="00AA57AE"/>
    <w:rsid w:val="00AE34A1"/>
    <w:rsid w:val="00B20F6F"/>
    <w:rsid w:val="00C44EE9"/>
    <w:rsid w:val="00CD446F"/>
    <w:rsid w:val="00CF7FF1"/>
    <w:rsid w:val="00D06FD1"/>
    <w:rsid w:val="00D565B0"/>
    <w:rsid w:val="00D9082D"/>
    <w:rsid w:val="00E065AF"/>
    <w:rsid w:val="00E35330"/>
    <w:rsid w:val="00E50818"/>
    <w:rsid w:val="00E637BF"/>
    <w:rsid w:val="00EA6662"/>
    <w:rsid w:val="00F220B9"/>
    <w:rsid w:val="00F22CD4"/>
    <w:rsid w:val="00F37355"/>
    <w:rsid w:val="00F50B40"/>
    <w:rsid w:val="00FA73C5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BDFC-5A8C-4CB2-986F-19A011C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C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38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9420-83F5-4161-A8C7-4AE391FE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Бароненко Дарья Олеговна</dc:creator>
  <cp:lastModifiedBy>Бароненко Дарья Олеговна</cp:lastModifiedBy>
  <cp:revision>5</cp:revision>
  <cp:lastPrinted>2020-11-26T21:26:00Z</cp:lastPrinted>
  <dcterms:created xsi:type="dcterms:W3CDTF">2020-11-30T22:38:00Z</dcterms:created>
  <dcterms:modified xsi:type="dcterms:W3CDTF">2021-02-16T00:57:00Z</dcterms:modified>
</cp:coreProperties>
</file>