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95" w:rsidRPr="00B22D6A" w:rsidRDefault="00662F95" w:rsidP="008B731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D6A">
        <w:rPr>
          <w:rFonts w:ascii="Times New Roman" w:hAnsi="Times New Roman" w:cs="Times New Roman"/>
          <w:b/>
          <w:sz w:val="26"/>
          <w:szCs w:val="26"/>
        </w:rPr>
        <w:t xml:space="preserve">Ключевыми показателями эффективности антимонопольного </w:t>
      </w:r>
      <w:proofErr w:type="spellStart"/>
      <w:r w:rsidRPr="00B22D6A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  <w:r w:rsidRPr="00B22D6A">
        <w:rPr>
          <w:rFonts w:ascii="Times New Roman" w:hAnsi="Times New Roman" w:cs="Times New Roman"/>
          <w:b/>
          <w:sz w:val="26"/>
          <w:szCs w:val="26"/>
        </w:rPr>
        <w:t xml:space="preserve"> являются:</w:t>
      </w:r>
    </w:p>
    <w:p w:rsidR="00165FCD" w:rsidRPr="00B22D6A" w:rsidRDefault="00165FCD" w:rsidP="008B731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F95" w:rsidRPr="00B22D6A" w:rsidRDefault="008B731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>1</w:t>
      </w:r>
      <w:r w:rsidRPr="00B22D6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62F95" w:rsidRPr="00B22D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коэффициент снижения количества нарушений антимонопольного законодательства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 со стороны органа </w:t>
      </w:r>
      <w:r w:rsidRPr="00B22D6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62F95" w:rsidRPr="00B22D6A">
        <w:rPr>
          <w:rFonts w:ascii="Times New Roman" w:hAnsi="Times New Roman" w:cs="Times New Roman"/>
          <w:sz w:val="26"/>
          <w:szCs w:val="26"/>
        </w:rPr>
        <w:t>(по сравнению с 2017 годом);</w:t>
      </w:r>
    </w:p>
    <w:p w:rsidR="00077555" w:rsidRPr="00B22D6A" w:rsidRDefault="00662F9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>(рассчитывается как отношение количества нарушений в отчетном году к количеству нарушений в 2017 год</w:t>
      </w:r>
      <w:r w:rsidR="00077555" w:rsidRPr="00B22D6A">
        <w:rPr>
          <w:rFonts w:ascii="Times New Roman" w:hAnsi="Times New Roman" w:cs="Times New Roman"/>
          <w:sz w:val="26"/>
          <w:szCs w:val="26"/>
        </w:rPr>
        <w:t>у)</w:t>
      </w:r>
    </w:p>
    <w:p w:rsidR="00077555" w:rsidRPr="00B22D6A" w:rsidRDefault="008B731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D6A">
        <w:rPr>
          <w:rFonts w:ascii="Times New Roman" w:hAnsi="Times New Roman" w:cs="Times New Roman"/>
          <w:b/>
          <w:sz w:val="26"/>
          <w:szCs w:val="26"/>
        </w:rPr>
        <w:t>К нарушениям относятся:</w:t>
      </w:r>
    </w:p>
    <w:p w:rsidR="0007755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- возбужденные антимонопольным органом в отношении органа </w:t>
      </w:r>
      <w:r w:rsidRPr="00B22D6A">
        <w:rPr>
          <w:rFonts w:ascii="Times New Roman" w:hAnsi="Times New Roman" w:cs="Times New Roman"/>
          <w:sz w:val="26"/>
          <w:szCs w:val="26"/>
        </w:rPr>
        <w:t xml:space="preserve">местного </w:t>
      </w:r>
      <w:proofErr w:type="gramStart"/>
      <w:r w:rsidRPr="00B22D6A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B22D6A">
        <w:rPr>
          <w:rFonts w:ascii="Times New Roman" w:hAnsi="Times New Roman" w:cs="Times New Roman"/>
          <w:sz w:val="26"/>
          <w:szCs w:val="26"/>
        </w:rPr>
        <w:t xml:space="preserve"> антимонопольные</w:t>
      </w:r>
      <w:proofErr w:type="gramEnd"/>
      <w:r w:rsidRPr="00B22D6A">
        <w:rPr>
          <w:rFonts w:ascii="Times New Roman" w:hAnsi="Times New Roman" w:cs="Times New Roman"/>
          <w:sz w:val="26"/>
          <w:szCs w:val="26"/>
        </w:rPr>
        <w:t xml:space="preserve"> дела;</w:t>
      </w:r>
    </w:p>
    <w:p w:rsidR="0007755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>- 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7755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>- направленные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77555" w:rsidRPr="00B22D6A" w:rsidRDefault="008B731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>Данный ключевой показатель</w:t>
      </w:r>
      <w:r w:rsidR="00077555" w:rsidRPr="00B22D6A">
        <w:rPr>
          <w:rFonts w:ascii="Times New Roman" w:hAnsi="Times New Roman" w:cs="Times New Roman"/>
          <w:sz w:val="26"/>
          <w:szCs w:val="26"/>
        </w:rPr>
        <w:t xml:space="preserve"> </w:t>
      </w:r>
      <w:r w:rsidRPr="00B22D6A">
        <w:rPr>
          <w:rFonts w:ascii="Times New Roman" w:hAnsi="Times New Roman" w:cs="Times New Roman"/>
          <w:sz w:val="26"/>
          <w:szCs w:val="26"/>
        </w:rPr>
        <w:t xml:space="preserve">взаимосвязан </w:t>
      </w:r>
      <w:r w:rsidR="00077555" w:rsidRPr="00B22D6A">
        <w:rPr>
          <w:rFonts w:ascii="Times New Roman" w:hAnsi="Times New Roman" w:cs="Times New Roman"/>
          <w:sz w:val="26"/>
          <w:szCs w:val="26"/>
        </w:rPr>
        <w:t>с ключевым показателем мероприятий, предусмотренным подпунктом "б" пункта 1 Национального плана</w:t>
      </w:r>
      <w:r w:rsidR="00165FCD" w:rsidRPr="00B22D6A">
        <w:rPr>
          <w:rFonts w:ascii="Times New Roman" w:hAnsi="Times New Roman" w:cs="Times New Roman"/>
          <w:sz w:val="26"/>
          <w:szCs w:val="26"/>
        </w:rPr>
        <w:t>,</w:t>
      </w:r>
      <w:r w:rsidR="00077555" w:rsidRPr="00B22D6A">
        <w:rPr>
          <w:rFonts w:ascii="Times New Roman" w:hAnsi="Times New Roman" w:cs="Times New Roman"/>
          <w:sz w:val="26"/>
          <w:szCs w:val="26"/>
        </w:rPr>
        <w:t xml:space="preserve"> а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662F9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Ежегодная оценка </w:t>
      </w:r>
      <w:r w:rsidR="00165FCD" w:rsidRPr="00B22D6A">
        <w:rPr>
          <w:rFonts w:ascii="Times New Roman" w:hAnsi="Times New Roman" w:cs="Times New Roman"/>
          <w:sz w:val="26"/>
          <w:szCs w:val="26"/>
        </w:rPr>
        <w:t xml:space="preserve">данного коэффициента </w:t>
      </w:r>
      <w:r w:rsidRPr="00B22D6A">
        <w:rPr>
          <w:rFonts w:ascii="Times New Roman" w:hAnsi="Times New Roman" w:cs="Times New Roman"/>
          <w:sz w:val="26"/>
          <w:szCs w:val="26"/>
        </w:rPr>
        <w:t xml:space="preserve">призвана обеспечить понимание об эффективности функционирования антимонопольного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 xml:space="preserve"> и о соответствии мероприятий антимонопольного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 xml:space="preserve"> направлениям совершенствования государственной политики по развитию конкуренции, установленных Национальным планом.</w:t>
      </w:r>
    </w:p>
    <w:p w:rsidR="00165FCD" w:rsidRPr="00B22D6A" w:rsidRDefault="00165FCD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F95" w:rsidRPr="00B22D6A" w:rsidRDefault="00165FCD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2D6A">
        <w:rPr>
          <w:rFonts w:ascii="Times New Roman" w:hAnsi="Times New Roman" w:cs="Times New Roman"/>
          <w:sz w:val="26"/>
          <w:szCs w:val="26"/>
        </w:rPr>
        <w:t>Б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) </w:t>
      </w:r>
      <w:r w:rsidR="00662F95" w:rsidRPr="00B22D6A">
        <w:rPr>
          <w:rFonts w:ascii="Times New Roman" w:hAnsi="Times New Roman" w:cs="Times New Roman"/>
          <w:b/>
          <w:sz w:val="26"/>
          <w:szCs w:val="26"/>
          <w:u w:val="single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07755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рассчитывается как отношение </w:t>
      </w:r>
      <w:r w:rsidRPr="00B22D6A">
        <w:rPr>
          <w:rFonts w:ascii="Times New Roman" w:hAnsi="Times New Roman" w:cs="Times New Roman"/>
          <w:sz w:val="26"/>
          <w:szCs w:val="26"/>
        </w:rPr>
        <w:t xml:space="preserve">количеств проектов нормативных правовых актов органа </w:t>
      </w:r>
      <w:r w:rsidRPr="00B22D6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B22D6A">
        <w:rPr>
          <w:rFonts w:ascii="Times New Roman" w:hAnsi="Times New Roman" w:cs="Times New Roman"/>
          <w:sz w:val="26"/>
          <w:szCs w:val="26"/>
        </w:rPr>
        <w:t>, в которых данным органом выявлены риски нарушения антимонопольного законо</w:t>
      </w:r>
      <w:r w:rsidRPr="00B22D6A">
        <w:rPr>
          <w:rFonts w:ascii="Times New Roman" w:hAnsi="Times New Roman" w:cs="Times New Roman"/>
          <w:sz w:val="26"/>
          <w:szCs w:val="26"/>
        </w:rPr>
        <w:t xml:space="preserve">дательства (в отчетном периоде) к </w:t>
      </w:r>
      <w:r w:rsidRPr="00B22D6A">
        <w:rPr>
          <w:rFonts w:ascii="Times New Roman" w:hAnsi="Times New Roman" w:cs="Times New Roman"/>
          <w:sz w:val="26"/>
          <w:szCs w:val="26"/>
        </w:rPr>
        <w:t>количество нормативных правовых актов, в которых антимонопольным органом выявлены нарушения антимонопольного законодательства (в отчетном периоде).</w:t>
      </w:r>
    </w:p>
    <w:p w:rsidR="00077555" w:rsidRPr="00B22D6A" w:rsidRDefault="00077555" w:rsidP="00107A12">
      <w:pPr>
        <w:pStyle w:val="a5"/>
        <w:tabs>
          <w:tab w:val="center" w:pos="4818"/>
          <w:tab w:val="left" w:pos="7605"/>
        </w:tabs>
        <w:jc w:val="both"/>
        <w:rPr>
          <w:sz w:val="26"/>
          <w:szCs w:val="26"/>
        </w:rPr>
      </w:pPr>
      <w:bookmarkStart w:id="0" w:name="_GoBack"/>
      <w:bookmarkEnd w:id="0"/>
    </w:p>
    <w:p w:rsidR="0007755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Оценка значений </w:t>
      </w:r>
      <w:r w:rsidR="00165FCD" w:rsidRPr="00B22D6A">
        <w:rPr>
          <w:rFonts w:ascii="Times New Roman" w:hAnsi="Times New Roman" w:cs="Times New Roman"/>
          <w:sz w:val="26"/>
          <w:szCs w:val="26"/>
        </w:rPr>
        <w:t xml:space="preserve">данного показателя </w:t>
      </w:r>
      <w:r w:rsidRPr="00B22D6A">
        <w:rPr>
          <w:rFonts w:ascii="Times New Roman" w:hAnsi="Times New Roman" w:cs="Times New Roman"/>
          <w:sz w:val="26"/>
          <w:szCs w:val="26"/>
        </w:rPr>
        <w:t xml:space="preserve">направлена на понимание эффективности мероприятий антимонопольного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>, предусмотренных подпунктами "б" и "в" пункта 15 Методических рекомендаций.</w:t>
      </w:r>
    </w:p>
    <w:p w:rsidR="00165FCD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При эффективном проведении мероприятий по анализу нормативных правовых </w:t>
      </w:r>
      <w:r w:rsidRPr="00B22D6A">
        <w:rPr>
          <w:rFonts w:ascii="Times New Roman" w:hAnsi="Times New Roman" w:cs="Times New Roman"/>
          <w:sz w:val="26"/>
          <w:szCs w:val="26"/>
        </w:rPr>
        <w:lastRenderedPageBreak/>
        <w:t xml:space="preserve">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165FCD" w:rsidRPr="00B22D6A">
        <w:rPr>
          <w:rFonts w:ascii="Times New Roman" w:hAnsi="Times New Roman" w:cs="Times New Roman"/>
          <w:sz w:val="26"/>
          <w:szCs w:val="26"/>
        </w:rPr>
        <w:t>о</w:t>
      </w:r>
      <w:r w:rsidRPr="00B22D6A">
        <w:rPr>
          <w:rFonts w:ascii="Times New Roman" w:hAnsi="Times New Roman" w:cs="Times New Roman"/>
          <w:sz w:val="26"/>
          <w:szCs w:val="26"/>
        </w:rPr>
        <w:t>ргана</w:t>
      </w:r>
      <w:r w:rsidR="00165FCD" w:rsidRPr="00B22D6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2D6A">
        <w:rPr>
          <w:rFonts w:ascii="Times New Roman" w:hAnsi="Times New Roman" w:cs="Times New Roman"/>
          <w:sz w:val="26"/>
          <w:szCs w:val="26"/>
        </w:rPr>
        <w:t xml:space="preserve">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</w:t>
      </w:r>
      <w:r w:rsidR="00165FCD" w:rsidRPr="00B22D6A">
        <w:rPr>
          <w:rFonts w:ascii="Times New Roman" w:hAnsi="Times New Roman" w:cs="Times New Roman"/>
          <w:sz w:val="26"/>
          <w:szCs w:val="26"/>
        </w:rPr>
        <w:t>показателя</w:t>
      </w:r>
      <w:r w:rsidRPr="00B22D6A">
        <w:rPr>
          <w:rFonts w:ascii="Times New Roman" w:hAnsi="Times New Roman" w:cs="Times New Roman"/>
          <w:sz w:val="26"/>
          <w:szCs w:val="26"/>
        </w:rPr>
        <w:t xml:space="preserve"> будет тем выше, чем эффективней данные мероприятия антимонопольного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 xml:space="preserve"> будут осуществляться уполномоченным подразделением (должностным лицом). И наоборот</w:t>
      </w:r>
      <w:r w:rsidR="00165FCD" w:rsidRPr="00B22D6A">
        <w:rPr>
          <w:rFonts w:ascii="Times New Roman" w:hAnsi="Times New Roman" w:cs="Times New Roman"/>
          <w:sz w:val="26"/>
          <w:szCs w:val="26"/>
        </w:rPr>
        <w:t>.</w:t>
      </w:r>
    </w:p>
    <w:p w:rsidR="00077555" w:rsidRPr="00B22D6A" w:rsidRDefault="0007755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2F95" w:rsidRPr="00B22D6A" w:rsidRDefault="00165FCD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2D6A">
        <w:rPr>
          <w:rFonts w:ascii="Times New Roman" w:hAnsi="Times New Roman" w:cs="Times New Roman"/>
          <w:b/>
          <w:sz w:val="26"/>
          <w:szCs w:val="26"/>
          <w:u w:val="single"/>
        </w:rPr>
        <w:t>В) Доля нормативных правовых актов</w:t>
      </w:r>
      <w:r w:rsidR="00662F95" w:rsidRPr="00B22D6A">
        <w:rPr>
          <w:rFonts w:ascii="Times New Roman" w:hAnsi="Times New Roman" w:cs="Times New Roman"/>
          <w:b/>
          <w:sz w:val="26"/>
          <w:szCs w:val="26"/>
          <w:u w:val="single"/>
        </w:rPr>
        <w:t>, в которых выявлены риски нарушения антимонопольного законодательства, рассчитывается по формуле</w:t>
      </w:r>
      <w:r w:rsidR="00662F95" w:rsidRPr="00B22D6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62F95" w:rsidRPr="00B22D6A" w:rsidRDefault="00165FCD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Отношение </w:t>
      </w:r>
      <w:r w:rsidR="00662F95" w:rsidRPr="00B22D6A">
        <w:rPr>
          <w:rFonts w:ascii="Times New Roman" w:hAnsi="Times New Roman" w:cs="Times New Roman"/>
          <w:sz w:val="26"/>
          <w:szCs w:val="26"/>
        </w:rPr>
        <w:t>количеств</w:t>
      </w:r>
      <w:r w:rsidRPr="00B22D6A">
        <w:rPr>
          <w:rFonts w:ascii="Times New Roman" w:hAnsi="Times New Roman" w:cs="Times New Roman"/>
          <w:sz w:val="26"/>
          <w:szCs w:val="26"/>
        </w:rPr>
        <w:t xml:space="preserve">а 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нормативных правовых актов органа </w:t>
      </w:r>
      <w:r w:rsidRPr="00B22D6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662F95" w:rsidRPr="00B22D6A">
        <w:rPr>
          <w:rFonts w:ascii="Times New Roman" w:hAnsi="Times New Roman" w:cs="Times New Roman"/>
          <w:sz w:val="26"/>
          <w:szCs w:val="26"/>
        </w:rPr>
        <w:t>, в которых данным органом выявлены риски нарушения антимонопольного законо</w:t>
      </w:r>
      <w:r w:rsidRPr="00B22D6A">
        <w:rPr>
          <w:rFonts w:ascii="Times New Roman" w:hAnsi="Times New Roman" w:cs="Times New Roman"/>
          <w:sz w:val="26"/>
          <w:szCs w:val="26"/>
        </w:rPr>
        <w:t>дательства (в отчетном периоде) к</w:t>
      </w:r>
    </w:p>
    <w:p w:rsidR="00662F95" w:rsidRPr="00B22D6A" w:rsidRDefault="00165FCD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>количеству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662F95" w:rsidRPr="00B22D6A" w:rsidRDefault="00662F95" w:rsidP="008B73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2F95" w:rsidRPr="00B22D6A" w:rsidRDefault="00165FCD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2D6A">
        <w:rPr>
          <w:rFonts w:ascii="Times New Roman" w:hAnsi="Times New Roman" w:cs="Times New Roman"/>
          <w:b/>
          <w:sz w:val="26"/>
          <w:szCs w:val="26"/>
        </w:rPr>
        <w:t xml:space="preserve">Г) </w:t>
      </w:r>
      <w:r w:rsidR="00662F95" w:rsidRPr="00B22D6A">
        <w:rPr>
          <w:rFonts w:ascii="Times New Roman" w:hAnsi="Times New Roman" w:cs="Times New Roman"/>
          <w:b/>
          <w:sz w:val="26"/>
          <w:szCs w:val="26"/>
        </w:rPr>
        <w:t xml:space="preserve">Для уполномоченного подразделения (должностного лица) рассчитываются следующий </w:t>
      </w:r>
      <w:r w:rsidRPr="00B22D6A">
        <w:rPr>
          <w:rFonts w:ascii="Times New Roman" w:hAnsi="Times New Roman" w:cs="Times New Roman"/>
          <w:b/>
          <w:sz w:val="26"/>
          <w:szCs w:val="26"/>
        </w:rPr>
        <w:t>показатель</w:t>
      </w:r>
      <w:r w:rsidR="00662F95" w:rsidRPr="00B22D6A">
        <w:rPr>
          <w:rFonts w:ascii="Times New Roman" w:hAnsi="Times New Roman" w:cs="Times New Roman"/>
          <w:b/>
          <w:sz w:val="26"/>
          <w:szCs w:val="26"/>
        </w:rPr>
        <w:t>:</w:t>
      </w:r>
    </w:p>
    <w:p w:rsidR="00662F95" w:rsidRPr="00B22D6A" w:rsidRDefault="00662F9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доля сотрудников органа </w:t>
      </w:r>
      <w:r w:rsidR="00165FCD" w:rsidRPr="00B22D6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B22D6A">
        <w:rPr>
          <w:rFonts w:ascii="Times New Roman" w:hAnsi="Times New Roman" w:cs="Times New Roman"/>
          <w:sz w:val="26"/>
          <w:szCs w:val="26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>.</w:t>
      </w:r>
    </w:p>
    <w:p w:rsidR="00662F95" w:rsidRPr="00B22D6A" w:rsidRDefault="00B22D6A" w:rsidP="00B22D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Рассчитывается как 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количество сотрудников органа </w:t>
      </w:r>
      <w:r w:rsidRPr="00B22D6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662F95" w:rsidRPr="00B22D6A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</w:p>
    <w:p w:rsidR="00662F95" w:rsidRPr="00B22D6A" w:rsidRDefault="00B22D6A" w:rsidP="00B22D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К </w:t>
      </w:r>
      <w:r w:rsidR="00662F95" w:rsidRPr="00B22D6A">
        <w:rPr>
          <w:rFonts w:ascii="Times New Roman" w:hAnsi="Times New Roman" w:cs="Times New Roman"/>
          <w:sz w:val="26"/>
          <w:szCs w:val="26"/>
        </w:rPr>
        <w:t>обще</w:t>
      </w:r>
      <w:r w:rsidRPr="00B22D6A">
        <w:rPr>
          <w:rFonts w:ascii="Times New Roman" w:hAnsi="Times New Roman" w:cs="Times New Roman"/>
          <w:sz w:val="26"/>
          <w:szCs w:val="26"/>
        </w:rPr>
        <w:t xml:space="preserve">му </w:t>
      </w:r>
      <w:r w:rsidR="00662F95" w:rsidRPr="00B22D6A">
        <w:rPr>
          <w:rFonts w:ascii="Times New Roman" w:hAnsi="Times New Roman" w:cs="Times New Roman"/>
          <w:sz w:val="26"/>
          <w:szCs w:val="26"/>
        </w:rPr>
        <w:t>количеств</w:t>
      </w:r>
      <w:r w:rsidRPr="00B22D6A">
        <w:rPr>
          <w:rFonts w:ascii="Times New Roman" w:hAnsi="Times New Roman" w:cs="Times New Roman"/>
          <w:sz w:val="26"/>
          <w:szCs w:val="26"/>
        </w:rPr>
        <w:t xml:space="preserve">у </w:t>
      </w:r>
      <w:r w:rsidR="00662F95" w:rsidRPr="00B22D6A">
        <w:rPr>
          <w:rFonts w:ascii="Times New Roman" w:hAnsi="Times New Roman" w:cs="Times New Roman"/>
          <w:sz w:val="26"/>
          <w:szCs w:val="26"/>
        </w:rPr>
        <w:t xml:space="preserve">сотрудников органа </w:t>
      </w:r>
      <w:r w:rsidRPr="00B22D6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662F95" w:rsidRPr="00B22D6A">
        <w:rPr>
          <w:rFonts w:ascii="Times New Roman" w:hAnsi="Times New Roman" w:cs="Times New Roman"/>
          <w:sz w:val="26"/>
          <w:szCs w:val="26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B22D6A" w:rsidRDefault="00662F95" w:rsidP="008B73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Консультирование и обучение служащих органа </w:t>
      </w:r>
      <w:r w:rsidR="00B22D6A" w:rsidRPr="00B22D6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B22D6A">
        <w:rPr>
          <w:rFonts w:ascii="Times New Roman" w:hAnsi="Times New Roman" w:cs="Times New Roman"/>
          <w:sz w:val="26"/>
          <w:szCs w:val="26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>, отнесено к компетенции уполномоченного подразделения (должностного лица) и направлено на профилактику нарушений требований антимонопольного законодательства</w:t>
      </w:r>
      <w:r w:rsidR="00B22D6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2F95" w:rsidRPr="00B22D6A" w:rsidRDefault="00662F95" w:rsidP="00B22D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D6A">
        <w:rPr>
          <w:rFonts w:ascii="Times New Roman" w:hAnsi="Times New Roman" w:cs="Times New Roman"/>
          <w:sz w:val="26"/>
          <w:szCs w:val="26"/>
        </w:rPr>
        <w:t xml:space="preserve">Расчет данного показателя предусматривает определение сотрудников </w:t>
      </w:r>
      <w:r w:rsidR="00B22D6A" w:rsidRPr="00B22D6A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B22D6A">
        <w:rPr>
          <w:rFonts w:ascii="Times New Roman" w:hAnsi="Times New Roman" w:cs="Times New Roman"/>
          <w:sz w:val="26"/>
          <w:szCs w:val="26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22D6A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B22D6A">
        <w:rPr>
          <w:rFonts w:ascii="Times New Roman" w:hAnsi="Times New Roman" w:cs="Times New Roman"/>
          <w:sz w:val="26"/>
          <w:szCs w:val="26"/>
        </w:rPr>
        <w:t xml:space="preserve"> (числитель), обеспечивает высокое значение КПЭ.</w:t>
      </w:r>
    </w:p>
    <w:p w:rsidR="007B100E" w:rsidRPr="00B22D6A" w:rsidRDefault="0009660D" w:rsidP="008B73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8B7315" w:rsidRPr="00B22D6A" w:rsidRDefault="008B731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8B7315" w:rsidRPr="00B22D6A" w:rsidSect="00B22D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95"/>
    <w:rsid w:val="00077555"/>
    <w:rsid w:val="0009660D"/>
    <w:rsid w:val="00107A12"/>
    <w:rsid w:val="00165FCD"/>
    <w:rsid w:val="00200864"/>
    <w:rsid w:val="00662F95"/>
    <w:rsid w:val="008B7315"/>
    <w:rsid w:val="00B22D6A"/>
    <w:rsid w:val="00E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4F07A-05DB-4028-A861-8DF39BE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7A12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1</cp:revision>
  <cp:lastPrinted>2019-10-28T22:18:00Z</cp:lastPrinted>
  <dcterms:created xsi:type="dcterms:W3CDTF">2019-10-28T21:27:00Z</dcterms:created>
  <dcterms:modified xsi:type="dcterms:W3CDTF">2019-10-29T03:22:00Z</dcterms:modified>
</cp:coreProperties>
</file>