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6E8" w:rsidRPr="00BF16E8" w:rsidRDefault="00BF16E8" w:rsidP="00BF16E8">
      <w:pPr>
        <w:pStyle w:val="3"/>
        <w:tabs>
          <w:tab w:val="left" w:pos="5835"/>
        </w:tabs>
        <w:spacing w:before="0" w:line="240" w:lineRule="auto"/>
        <w:ind w:firstLine="709"/>
        <w:jc w:val="right"/>
        <w:rPr>
          <w:rFonts w:ascii="Times New Roman" w:hAnsi="Times New Roman" w:cs="Times New Roman"/>
          <w:b w:val="0"/>
          <w:color w:val="auto"/>
          <w:sz w:val="24"/>
          <w:szCs w:val="24"/>
        </w:rPr>
      </w:pPr>
      <w:bookmarkStart w:id="0" w:name="_Toc3045882"/>
      <w:bookmarkStart w:id="1" w:name="_GoBack"/>
      <w:r w:rsidRPr="00BF16E8">
        <w:rPr>
          <w:rFonts w:ascii="Times New Roman" w:hAnsi="Times New Roman" w:cs="Times New Roman"/>
          <w:b w:val="0"/>
          <w:color w:val="auto"/>
          <w:sz w:val="24"/>
          <w:szCs w:val="24"/>
        </w:rPr>
        <w:t xml:space="preserve">Цитата из Доклада </w:t>
      </w:r>
    </w:p>
    <w:p w:rsidR="00BF16E8" w:rsidRPr="00BF16E8" w:rsidRDefault="00BF16E8" w:rsidP="00BF16E8">
      <w:pPr>
        <w:pStyle w:val="3"/>
        <w:tabs>
          <w:tab w:val="left" w:pos="5835"/>
        </w:tabs>
        <w:spacing w:before="0" w:line="240" w:lineRule="auto"/>
        <w:ind w:firstLine="709"/>
        <w:jc w:val="right"/>
        <w:rPr>
          <w:rFonts w:ascii="Times New Roman" w:hAnsi="Times New Roman" w:cs="Times New Roman"/>
          <w:b w:val="0"/>
          <w:color w:val="auto"/>
          <w:sz w:val="24"/>
          <w:szCs w:val="24"/>
        </w:rPr>
      </w:pPr>
      <w:r w:rsidRPr="00BF16E8">
        <w:rPr>
          <w:rFonts w:ascii="Times New Roman" w:hAnsi="Times New Roman" w:cs="Times New Roman"/>
          <w:b w:val="0"/>
          <w:color w:val="auto"/>
          <w:sz w:val="24"/>
          <w:szCs w:val="24"/>
        </w:rPr>
        <w:t xml:space="preserve">о состоянии и развитии конкурентной среды </w:t>
      </w:r>
    </w:p>
    <w:p w:rsidR="00BF16E8" w:rsidRPr="00BF16E8" w:rsidRDefault="00BF16E8" w:rsidP="00BF16E8">
      <w:pPr>
        <w:pStyle w:val="3"/>
        <w:tabs>
          <w:tab w:val="left" w:pos="5835"/>
        </w:tabs>
        <w:spacing w:before="0" w:line="240" w:lineRule="auto"/>
        <w:ind w:firstLine="709"/>
        <w:jc w:val="right"/>
        <w:rPr>
          <w:rFonts w:ascii="Times New Roman" w:hAnsi="Times New Roman" w:cs="Times New Roman"/>
          <w:b w:val="0"/>
          <w:color w:val="auto"/>
          <w:sz w:val="24"/>
          <w:szCs w:val="24"/>
        </w:rPr>
      </w:pPr>
      <w:r w:rsidRPr="00BF16E8">
        <w:rPr>
          <w:rFonts w:ascii="Times New Roman" w:hAnsi="Times New Roman" w:cs="Times New Roman"/>
          <w:b w:val="0"/>
          <w:color w:val="auto"/>
          <w:sz w:val="24"/>
          <w:szCs w:val="24"/>
        </w:rPr>
        <w:t xml:space="preserve">на рынках товаров, работ и услуг </w:t>
      </w:r>
    </w:p>
    <w:p w:rsidR="00BF16E8" w:rsidRPr="00BF16E8" w:rsidRDefault="00BF16E8" w:rsidP="00BF16E8">
      <w:pPr>
        <w:pStyle w:val="3"/>
        <w:tabs>
          <w:tab w:val="left" w:pos="5835"/>
        </w:tabs>
        <w:spacing w:before="0" w:line="240" w:lineRule="auto"/>
        <w:ind w:firstLine="709"/>
        <w:jc w:val="right"/>
        <w:rPr>
          <w:rFonts w:ascii="Times New Roman" w:hAnsi="Times New Roman" w:cs="Times New Roman"/>
          <w:b w:val="0"/>
          <w:color w:val="auto"/>
          <w:sz w:val="24"/>
          <w:szCs w:val="24"/>
        </w:rPr>
      </w:pPr>
      <w:r w:rsidRPr="00BF16E8">
        <w:rPr>
          <w:rFonts w:ascii="Times New Roman" w:hAnsi="Times New Roman" w:cs="Times New Roman"/>
          <w:b w:val="0"/>
          <w:color w:val="auto"/>
          <w:sz w:val="24"/>
          <w:szCs w:val="24"/>
        </w:rPr>
        <w:t>Камчатского края</w:t>
      </w:r>
    </w:p>
    <w:p w:rsidR="00BF16E8" w:rsidRPr="00BF16E8" w:rsidRDefault="00BF16E8" w:rsidP="00BF16E8">
      <w:pPr>
        <w:pStyle w:val="3"/>
        <w:tabs>
          <w:tab w:val="left" w:pos="5835"/>
        </w:tabs>
        <w:spacing w:before="0" w:line="240" w:lineRule="auto"/>
        <w:ind w:firstLine="709"/>
        <w:jc w:val="right"/>
        <w:rPr>
          <w:rFonts w:ascii="Times New Roman" w:hAnsi="Times New Roman" w:cs="Times New Roman"/>
          <w:b w:val="0"/>
          <w:color w:val="auto"/>
          <w:sz w:val="24"/>
          <w:szCs w:val="24"/>
        </w:rPr>
      </w:pPr>
      <w:r w:rsidRPr="00BF16E8">
        <w:rPr>
          <w:rFonts w:ascii="Times New Roman" w:hAnsi="Times New Roman" w:cs="Times New Roman"/>
          <w:b w:val="0"/>
          <w:color w:val="auto"/>
          <w:sz w:val="24"/>
          <w:szCs w:val="24"/>
        </w:rPr>
        <w:t>по итогам 2018 года</w:t>
      </w:r>
    </w:p>
    <w:p w:rsidR="00BF16E8" w:rsidRPr="00BF16E8" w:rsidRDefault="00BF16E8" w:rsidP="00BF16E8">
      <w:pPr>
        <w:pStyle w:val="3"/>
        <w:tabs>
          <w:tab w:val="left" w:pos="5835"/>
        </w:tabs>
        <w:spacing w:before="0" w:line="240" w:lineRule="auto"/>
        <w:ind w:firstLine="709"/>
        <w:jc w:val="right"/>
        <w:rPr>
          <w:rFonts w:ascii="Times New Roman" w:hAnsi="Times New Roman" w:cs="Times New Roman"/>
          <w:b w:val="0"/>
          <w:color w:val="auto"/>
          <w:sz w:val="24"/>
          <w:szCs w:val="24"/>
        </w:rPr>
      </w:pPr>
    </w:p>
    <w:bookmarkEnd w:id="1"/>
    <w:p w:rsidR="00BF16E8" w:rsidRDefault="00BF16E8" w:rsidP="00BF16E8">
      <w:pPr>
        <w:pStyle w:val="3"/>
        <w:tabs>
          <w:tab w:val="left" w:pos="5835"/>
        </w:tabs>
        <w:spacing w:line="240" w:lineRule="auto"/>
        <w:ind w:firstLine="709"/>
        <w:jc w:val="both"/>
        <w:rPr>
          <w:rFonts w:ascii="Times New Roman" w:hAnsi="Times New Roman" w:cs="Times New Roman"/>
          <w:color w:val="auto"/>
          <w:sz w:val="28"/>
          <w:szCs w:val="28"/>
        </w:rPr>
      </w:pPr>
    </w:p>
    <w:p w:rsidR="00BF16E8" w:rsidRPr="00BF16E8" w:rsidRDefault="00BF16E8" w:rsidP="00BF16E8">
      <w:pPr>
        <w:pStyle w:val="3"/>
        <w:tabs>
          <w:tab w:val="left" w:pos="5835"/>
        </w:tabs>
        <w:spacing w:line="240" w:lineRule="auto"/>
        <w:ind w:firstLine="709"/>
        <w:jc w:val="both"/>
        <w:rPr>
          <w:rFonts w:ascii="Times New Roman" w:hAnsi="Times New Roman" w:cs="Times New Roman"/>
          <w:color w:val="auto"/>
          <w:sz w:val="28"/>
          <w:szCs w:val="28"/>
        </w:rPr>
      </w:pPr>
      <w:r w:rsidRPr="00BF16E8">
        <w:rPr>
          <w:rFonts w:ascii="Times New Roman" w:hAnsi="Times New Roman" w:cs="Times New Roman"/>
          <w:color w:val="auto"/>
          <w:sz w:val="28"/>
          <w:szCs w:val="28"/>
        </w:rPr>
        <w:t>2.2.7. Рынок услуг в сфере культуры</w:t>
      </w:r>
      <w:bookmarkEnd w:id="0"/>
      <w:r w:rsidRPr="00BF16E8">
        <w:rPr>
          <w:rFonts w:ascii="Times New Roman" w:hAnsi="Times New Roman" w:cs="Times New Roman"/>
          <w:color w:val="auto"/>
          <w:sz w:val="28"/>
          <w:szCs w:val="28"/>
        </w:rPr>
        <w:tab/>
      </w:r>
    </w:p>
    <w:p w:rsidR="00BF16E8" w:rsidRDefault="00BF16E8" w:rsidP="00BF16E8">
      <w:pPr>
        <w:spacing w:before="120" w:after="120" w:line="240" w:lineRule="auto"/>
        <w:ind w:firstLine="709"/>
        <w:jc w:val="both"/>
        <w:rPr>
          <w:rFonts w:ascii="Times New Roman" w:eastAsia="Times New Roman" w:hAnsi="Times New Roman" w:cs="Times New Roman"/>
          <w:b/>
          <w:sz w:val="28"/>
          <w:szCs w:val="28"/>
          <w:lang w:eastAsia="ru-RU"/>
        </w:rPr>
      </w:pPr>
      <w:r w:rsidRPr="00CB49E0">
        <w:rPr>
          <w:rFonts w:ascii="Times New Roman" w:eastAsia="Times New Roman" w:hAnsi="Times New Roman" w:cs="Times New Roman"/>
          <w:b/>
          <w:sz w:val="28"/>
          <w:szCs w:val="28"/>
          <w:lang w:eastAsia="ru-RU"/>
        </w:rPr>
        <w:t>Структурные показатели</w:t>
      </w:r>
    </w:p>
    <w:p w:rsidR="00BF16E8" w:rsidRPr="009808C7" w:rsidRDefault="00BF16E8" w:rsidP="00BF16E8">
      <w:pPr>
        <w:widowControl w:val="0"/>
        <w:spacing w:after="0" w:line="240" w:lineRule="auto"/>
        <w:ind w:firstLine="709"/>
        <w:jc w:val="both"/>
        <w:rPr>
          <w:rFonts w:ascii="Times New Roman" w:eastAsia="Times New Roman" w:hAnsi="Times New Roman" w:cs="Times New Roman"/>
          <w:sz w:val="28"/>
          <w:szCs w:val="28"/>
          <w:lang w:eastAsia="ru-RU"/>
        </w:rPr>
      </w:pPr>
      <w:r w:rsidRPr="009808C7">
        <w:rPr>
          <w:rFonts w:ascii="Times New Roman" w:eastAsia="Times New Roman" w:hAnsi="Times New Roman" w:cs="Times New Roman"/>
          <w:sz w:val="28"/>
          <w:szCs w:val="28"/>
          <w:lang w:eastAsia="ru-RU"/>
        </w:rPr>
        <w:t xml:space="preserve">В регионе осуществляют свою деятельность 99 учреждений культуры (14 региональных и 85 муниципальных) и 100 филиалов данных учреждений. Организации оказывают населению услуги музейного и библиотечного, концертно-театрального и культурно-досугового обслуживания. Также осуществляет деятельность один муниципальный зоопарк. </w:t>
      </w:r>
    </w:p>
    <w:p w:rsidR="00BF16E8" w:rsidRPr="009808C7" w:rsidRDefault="00BF16E8" w:rsidP="00BF16E8">
      <w:pPr>
        <w:widowControl w:val="0"/>
        <w:spacing w:after="0" w:line="240" w:lineRule="auto"/>
        <w:ind w:firstLine="709"/>
        <w:jc w:val="both"/>
        <w:rPr>
          <w:rFonts w:ascii="Times New Roman" w:eastAsia="Times New Roman" w:hAnsi="Times New Roman" w:cs="Times New Roman"/>
          <w:sz w:val="28"/>
          <w:szCs w:val="28"/>
          <w:lang w:eastAsia="ru-RU"/>
        </w:rPr>
      </w:pPr>
      <w:r w:rsidRPr="009808C7">
        <w:rPr>
          <w:rFonts w:ascii="Times New Roman" w:eastAsia="Times New Roman" w:hAnsi="Times New Roman" w:cs="Times New Roman"/>
          <w:sz w:val="28"/>
          <w:szCs w:val="28"/>
          <w:lang w:eastAsia="ru-RU"/>
        </w:rPr>
        <w:t xml:space="preserve">Негосударственный коммерческий сектор по данным на конец 2018 года представлен деятельностью 212 предприятий: 51 юридических лиц и 161 индивидуальных предпринимателей. </w:t>
      </w:r>
    </w:p>
    <w:p w:rsidR="00BF16E8" w:rsidRPr="009808C7" w:rsidRDefault="00BF16E8" w:rsidP="00BF16E8">
      <w:pPr>
        <w:widowControl w:val="0"/>
        <w:spacing w:after="0" w:line="240" w:lineRule="auto"/>
        <w:ind w:firstLine="709"/>
        <w:jc w:val="both"/>
        <w:rPr>
          <w:rFonts w:ascii="Times New Roman" w:eastAsia="Times New Roman" w:hAnsi="Times New Roman" w:cs="Times New Roman"/>
          <w:sz w:val="28"/>
          <w:szCs w:val="28"/>
          <w:lang w:eastAsia="ru-RU"/>
        </w:rPr>
      </w:pPr>
      <w:r w:rsidRPr="009808C7">
        <w:rPr>
          <w:rFonts w:ascii="Times New Roman" w:eastAsia="Times New Roman" w:hAnsi="Times New Roman" w:cs="Times New Roman"/>
          <w:sz w:val="28"/>
          <w:szCs w:val="28"/>
          <w:lang w:eastAsia="ru-RU"/>
        </w:rPr>
        <w:t>Содействие в развитии конкуренции на рынке товаров и услуг в сфере культуры оказывается организациям негосударственного сектора по следующим основным видам экономической деятельности:</w:t>
      </w:r>
    </w:p>
    <w:p w:rsidR="00BF16E8" w:rsidRPr="009808C7" w:rsidRDefault="00BF16E8" w:rsidP="00BF16E8">
      <w:pPr>
        <w:widowControl w:val="0"/>
        <w:spacing w:after="0" w:line="240" w:lineRule="auto"/>
        <w:ind w:firstLine="709"/>
        <w:jc w:val="both"/>
        <w:rPr>
          <w:rFonts w:ascii="Times New Roman" w:eastAsia="Times New Roman" w:hAnsi="Times New Roman" w:cs="Times New Roman"/>
          <w:sz w:val="28"/>
          <w:szCs w:val="28"/>
          <w:lang w:eastAsia="ru-RU"/>
        </w:rPr>
      </w:pPr>
    </w:p>
    <w:p w:rsidR="00BF16E8" w:rsidRPr="009808C7" w:rsidRDefault="00BF16E8" w:rsidP="00BF16E8">
      <w:pPr>
        <w:widowControl w:val="0"/>
        <w:spacing w:after="0" w:line="240" w:lineRule="auto"/>
        <w:ind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2.2.38</w:t>
      </w:r>
    </w:p>
    <w:p w:rsidR="00BF16E8" w:rsidRPr="009808C7" w:rsidRDefault="00BF16E8" w:rsidP="00BF16E8">
      <w:pPr>
        <w:widowControl w:val="0"/>
        <w:spacing w:after="0" w:line="240" w:lineRule="auto"/>
        <w:ind w:firstLine="708"/>
        <w:jc w:val="center"/>
        <w:rPr>
          <w:rFonts w:ascii="Times New Roman" w:eastAsia="Times New Roman" w:hAnsi="Times New Roman" w:cs="Times New Roman"/>
          <w:sz w:val="24"/>
          <w:szCs w:val="24"/>
          <w:lang w:eastAsia="ru-RU"/>
        </w:rPr>
      </w:pPr>
      <w:r w:rsidRPr="009808C7">
        <w:rPr>
          <w:rFonts w:ascii="Times New Roman" w:eastAsia="Times New Roman" w:hAnsi="Times New Roman" w:cs="Times New Roman"/>
          <w:sz w:val="24"/>
          <w:szCs w:val="24"/>
          <w:lang w:eastAsia="ru-RU"/>
        </w:rPr>
        <w:t>ОКВЭД в сфере культуры</w:t>
      </w:r>
    </w:p>
    <w:p w:rsidR="00BF16E8" w:rsidRPr="009808C7" w:rsidRDefault="00BF16E8" w:rsidP="00BF16E8">
      <w:pPr>
        <w:widowControl w:val="0"/>
        <w:spacing w:after="0" w:line="240" w:lineRule="auto"/>
        <w:ind w:firstLine="708"/>
        <w:jc w:val="center"/>
        <w:rPr>
          <w:rFonts w:ascii="Times New Roman" w:eastAsia="Times New Roman" w:hAnsi="Times New Roman" w:cs="Times New Roman"/>
          <w:sz w:val="24"/>
          <w:szCs w:val="24"/>
          <w:lang w:eastAsia="ru-RU"/>
        </w:rPr>
      </w:pPr>
    </w:p>
    <w:tbl>
      <w:tblPr>
        <w:tblStyle w:val="1"/>
        <w:tblW w:w="9351" w:type="dxa"/>
        <w:tblLook w:val="04A0" w:firstRow="1" w:lastRow="0" w:firstColumn="1" w:lastColumn="0" w:noHBand="0" w:noVBand="1"/>
      </w:tblPr>
      <w:tblGrid>
        <w:gridCol w:w="1271"/>
        <w:gridCol w:w="8080"/>
      </w:tblGrid>
      <w:tr w:rsidR="00BF16E8" w:rsidRPr="009808C7" w:rsidTr="00381BD9">
        <w:tc>
          <w:tcPr>
            <w:tcW w:w="1271" w:type="dxa"/>
            <w:vAlign w:val="center"/>
          </w:tcPr>
          <w:p w:rsidR="00BF16E8" w:rsidRPr="009808C7" w:rsidRDefault="00BF16E8" w:rsidP="00381BD9">
            <w:pPr>
              <w:rPr>
                <w:bCs/>
                <w:color w:val="000000"/>
              </w:rPr>
            </w:pPr>
            <w:r w:rsidRPr="009808C7">
              <w:rPr>
                <w:bCs/>
                <w:color w:val="000000"/>
              </w:rPr>
              <w:t>Код ОКВЭД</w:t>
            </w:r>
          </w:p>
        </w:tc>
        <w:tc>
          <w:tcPr>
            <w:tcW w:w="8080" w:type="dxa"/>
          </w:tcPr>
          <w:p w:rsidR="00BF16E8" w:rsidRPr="009808C7" w:rsidRDefault="00BF16E8" w:rsidP="00381BD9">
            <w:pPr>
              <w:jc w:val="both"/>
              <w:rPr>
                <w:color w:val="000000"/>
                <w:shd w:val="clear" w:color="auto" w:fill="FFFFFF"/>
              </w:rPr>
            </w:pPr>
            <w:r w:rsidRPr="009808C7">
              <w:rPr>
                <w:color w:val="000000"/>
                <w:shd w:val="clear" w:color="auto" w:fill="FFFFFF"/>
              </w:rPr>
              <w:t>Пояснение</w:t>
            </w:r>
          </w:p>
        </w:tc>
      </w:tr>
      <w:tr w:rsidR="00BF16E8" w:rsidRPr="009808C7" w:rsidTr="00381BD9">
        <w:trPr>
          <w:trHeight w:val="262"/>
        </w:trPr>
        <w:tc>
          <w:tcPr>
            <w:tcW w:w="1271" w:type="dxa"/>
            <w:vAlign w:val="center"/>
          </w:tcPr>
          <w:p w:rsidR="00BF16E8" w:rsidRPr="009808C7" w:rsidRDefault="00BF16E8" w:rsidP="00381BD9">
            <w:pPr>
              <w:rPr>
                <w:bCs/>
                <w:color w:val="000000"/>
              </w:rPr>
            </w:pPr>
            <w:r w:rsidRPr="009808C7">
              <w:rPr>
                <w:bCs/>
                <w:color w:val="000000"/>
              </w:rPr>
              <w:t>58.1</w:t>
            </w:r>
          </w:p>
        </w:tc>
        <w:tc>
          <w:tcPr>
            <w:tcW w:w="8080" w:type="dxa"/>
          </w:tcPr>
          <w:p w:rsidR="00BF16E8" w:rsidRPr="009808C7" w:rsidRDefault="00BF16E8" w:rsidP="00381BD9">
            <w:pPr>
              <w:jc w:val="both"/>
              <w:rPr>
                <w:color w:val="000000"/>
                <w:shd w:val="clear" w:color="auto" w:fill="FFFFFF"/>
              </w:rPr>
            </w:pPr>
            <w:r w:rsidRPr="009808C7">
              <w:rPr>
                <w:color w:val="000000"/>
                <w:shd w:val="clear" w:color="auto" w:fill="FFFFFF"/>
              </w:rPr>
              <w:t xml:space="preserve">Издательская деятельность </w:t>
            </w:r>
          </w:p>
        </w:tc>
      </w:tr>
      <w:tr w:rsidR="00BF16E8" w:rsidRPr="009808C7" w:rsidTr="00381BD9">
        <w:tc>
          <w:tcPr>
            <w:tcW w:w="1271" w:type="dxa"/>
            <w:vAlign w:val="bottom"/>
          </w:tcPr>
          <w:p w:rsidR="00BF16E8" w:rsidRPr="009808C7" w:rsidRDefault="00BF16E8" w:rsidP="00381BD9">
            <w:pPr>
              <w:rPr>
                <w:bCs/>
                <w:color w:val="000000"/>
              </w:rPr>
            </w:pPr>
            <w:r w:rsidRPr="009808C7">
              <w:rPr>
                <w:color w:val="000000"/>
              </w:rPr>
              <w:t>77.29.3</w:t>
            </w:r>
          </w:p>
        </w:tc>
        <w:tc>
          <w:tcPr>
            <w:tcW w:w="8080" w:type="dxa"/>
          </w:tcPr>
          <w:p w:rsidR="00BF16E8" w:rsidRPr="009808C7" w:rsidRDefault="00BF16E8" w:rsidP="00381BD9">
            <w:pPr>
              <w:jc w:val="both"/>
              <w:rPr>
                <w:color w:val="000000"/>
                <w:shd w:val="clear" w:color="auto" w:fill="FFFFFF"/>
              </w:rPr>
            </w:pPr>
            <w:r w:rsidRPr="009808C7">
              <w:rPr>
                <w:color w:val="000000"/>
                <w:shd w:val="clear" w:color="auto" w:fill="FFFFFF"/>
              </w:rPr>
              <w:t xml:space="preserve">Прокат музыкальных инструментов </w:t>
            </w:r>
          </w:p>
        </w:tc>
      </w:tr>
      <w:tr w:rsidR="00BF16E8" w:rsidRPr="009808C7" w:rsidTr="00381BD9">
        <w:tc>
          <w:tcPr>
            <w:tcW w:w="1271" w:type="dxa"/>
            <w:vAlign w:val="bottom"/>
          </w:tcPr>
          <w:p w:rsidR="00BF16E8" w:rsidRPr="009808C7" w:rsidRDefault="00BF16E8" w:rsidP="00381BD9">
            <w:pPr>
              <w:rPr>
                <w:color w:val="000000"/>
              </w:rPr>
            </w:pPr>
            <w:r w:rsidRPr="009808C7">
              <w:rPr>
                <w:color w:val="000000"/>
              </w:rPr>
              <w:t>74.2</w:t>
            </w:r>
          </w:p>
        </w:tc>
        <w:tc>
          <w:tcPr>
            <w:tcW w:w="8080" w:type="dxa"/>
          </w:tcPr>
          <w:p w:rsidR="00BF16E8" w:rsidRPr="009808C7" w:rsidRDefault="00BF16E8" w:rsidP="00381BD9">
            <w:pPr>
              <w:jc w:val="both"/>
              <w:rPr>
                <w:color w:val="000000"/>
                <w:shd w:val="clear" w:color="auto" w:fill="FFFFFF"/>
              </w:rPr>
            </w:pPr>
            <w:r w:rsidRPr="009808C7">
              <w:rPr>
                <w:color w:val="000000"/>
                <w:shd w:val="clear" w:color="auto" w:fill="FFFFFF"/>
              </w:rPr>
              <w:t xml:space="preserve">Деятельность в области фотографии </w:t>
            </w:r>
          </w:p>
        </w:tc>
      </w:tr>
      <w:tr w:rsidR="00BF16E8" w:rsidRPr="009808C7" w:rsidTr="00381BD9">
        <w:tc>
          <w:tcPr>
            <w:tcW w:w="1271" w:type="dxa"/>
            <w:vAlign w:val="bottom"/>
          </w:tcPr>
          <w:p w:rsidR="00BF16E8" w:rsidRPr="009808C7" w:rsidRDefault="00BF16E8" w:rsidP="00381BD9">
            <w:pPr>
              <w:rPr>
                <w:color w:val="000000"/>
              </w:rPr>
            </w:pPr>
            <w:r w:rsidRPr="009808C7">
              <w:rPr>
                <w:color w:val="000000"/>
              </w:rPr>
              <w:t>59.1</w:t>
            </w:r>
          </w:p>
        </w:tc>
        <w:tc>
          <w:tcPr>
            <w:tcW w:w="8080" w:type="dxa"/>
          </w:tcPr>
          <w:p w:rsidR="00BF16E8" w:rsidRPr="009808C7" w:rsidRDefault="00BF16E8" w:rsidP="00381BD9">
            <w:pPr>
              <w:jc w:val="both"/>
              <w:rPr>
                <w:color w:val="000000"/>
                <w:shd w:val="clear" w:color="auto" w:fill="FFFFFF"/>
              </w:rPr>
            </w:pPr>
            <w:r w:rsidRPr="009808C7">
              <w:rPr>
                <w:color w:val="000000"/>
                <w:shd w:val="clear" w:color="auto" w:fill="FFFFFF"/>
              </w:rPr>
              <w:t>Деятельность, связанная с производством, прокатом и показом фильмов</w:t>
            </w:r>
          </w:p>
        </w:tc>
      </w:tr>
      <w:tr w:rsidR="00BF16E8" w:rsidRPr="009808C7" w:rsidTr="00381BD9">
        <w:tc>
          <w:tcPr>
            <w:tcW w:w="1271" w:type="dxa"/>
            <w:vAlign w:val="bottom"/>
          </w:tcPr>
          <w:p w:rsidR="00BF16E8" w:rsidRPr="009808C7" w:rsidRDefault="00BF16E8" w:rsidP="00381BD9">
            <w:pPr>
              <w:rPr>
                <w:color w:val="000000"/>
              </w:rPr>
            </w:pPr>
            <w:r w:rsidRPr="009808C7">
              <w:rPr>
                <w:color w:val="000000"/>
              </w:rPr>
              <w:t>93.29</w:t>
            </w:r>
          </w:p>
        </w:tc>
        <w:tc>
          <w:tcPr>
            <w:tcW w:w="8080" w:type="dxa"/>
          </w:tcPr>
          <w:p w:rsidR="00BF16E8" w:rsidRPr="009808C7" w:rsidRDefault="00BF16E8" w:rsidP="00381BD9">
            <w:pPr>
              <w:jc w:val="both"/>
              <w:rPr>
                <w:color w:val="000000"/>
                <w:shd w:val="clear" w:color="auto" w:fill="FFFFFF"/>
              </w:rPr>
            </w:pPr>
            <w:r w:rsidRPr="009808C7">
              <w:rPr>
                <w:color w:val="000000"/>
                <w:shd w:val="clear" w:color="auto" w:fill="FFFFFF"/>
              </w:rPr>
              <w:t xml:space="preserve">Прочая зрелищно-развлекательная деятельность </w:t>
            </w:r>
          </w:p>
        </w:tc>
      </w:tr>
      <w:tr w:rsidR="00BF16E8" w:rsidRPr="009808C7" w:rsidTr="00381BD9">
        <w:tc>
          <w:tcPr>
            <w:tcW w:w="1271" w:type="dxa"/>
            <w:vAlign w:val="bottom"/>
          </w:tcPr>
          <w:p w:rsidR="00BF16E8" w:rsidRPr="009808C7" w:rsidRDefault="00BF16E8" w:rsidP="00381BD9">
            <w:pPr>
              <w:rPr>
                <w:color w:val="000000"/>
              </w:rPr>
            </w:pPr>
            <w:r w:rsidRPr="009808C7">
              <w:rPr>
                <w:color w:val="000000"/>
              </w:rPr>
              <w:t>90</w:t>
            </w:r>
          </w:p>
        </w:tc>
        <w:tc>
          <w:tcPr>
            <w:tcW w:w="8080" w:type="dxa"/>
          </w:tcPr>
          <w:p w:rsidR="00BF16E8" w:rsidRPr="009808C7" w:rsidRDefault="00BF16E8" w:rsidP="00381BD9">
            <w:pPr>
              <w:jc w:val="both"/>
              <w:rPr>
                <w:color w:val="000000"/>
                <w:shd w:val="clear" w:color="auto" w:fill="FFFFFF"/>
              </w:rPr>
            </w:pPr>
            <w:r w:rsidRPr="009808C7">
              <w:rPr>
                <w:color w:val="000000"/>
                <w:shd w:val="clear" w:color="auto" w:fill="FFFFFF"/>
              </w:rPr>
              <w:t>Деятельность творческая, деятельность в области искусства и организации развлечений</w:t>
            </w:r>
          </w:p>
        </w:tc>
      </w:tr>
      <w:tr w:rsidR="00BF16E8" w:rsidRPr="009808C7" w:rsidTr="00381BD9">
        <w:trPr>
          <w:trHeight w:val="246"/>
        </w:trPr>
        <w:tc>
          <w:tcPr>
            <w:tcW w:w="1271" w:type="dxa"/>
            <w:vAlign w:val="bottom"/>
          </w:tcPr>
          <w:p w:rsidR="00BF16E8" w:rsidRPr="009808C7" w:rsidRDefault="00BF16E8" w:rsidP="00381BD9">
            <w:pPr>
              <w:rPr>
                <w:color w:val="000000"/>
              </w:rPr>
            </w:pPr>
            <w:r w:rsidRPr="009808C7">
              <w:rPr>
                <w:color w:val="000000"/>
              </w:rPr>
              <w:t>91</w:t>
            </w:r>
          </w:p>
        </w:tc>
        <w:tc>
          <w:tcPr>
            <w:tcW w:w="8080" w:type="dxa"/>
          </w:tcPr>
          <w:p w:rsidR="00BF16E8" w:rsidRPr="009808C7" w:rsidRDefault="00BF16E8" w:rsidP="00381BD9">
            <w:pPr>
              <w:jc w:val="both"/>
              <w:rPr>
                <w:color w:val="000000"/>
                <w:shd w:val="clear" w:color="auto" w:fill="FFFFFF"/>
              </w:rPr>
            </w:pPr>
            <w:r w:rsidRPr="009808C7">
              <w:rPr>
                <w:color w:val="000000"/>
                <w:shd w:val="clear" w:color="auto" w:fill="FFFFFF"/>
              </w:rPr>
              <w:t>Деятельность библиотек, архивов, музеев и прочих объектов культуры</w:t>
            </w:r>
          </w:p>
        </w:tc>
      </w:tr>
      <w:tr w:rsidR="00BF16E8" w:rsidRPr="009808C7" w:rsidTr="00381BD9">
        <w:trPr>
          <w:trHeight w:val="379"/>
        </w:trPr>
        <w:tc>
          <w:tcPr>
            <w:tcW w:w="1271" w:type="dxa"/>
            <w:vAlign w:val="bottom"/>
          </w:tcPr>
          <w:p w:rsidR="00BF16E8" w:rsidRPr="009808C7" w:rsidRDefault="00BF16E8" w:rsidP="00381BD9">
            <w:pPr>
              <w:rPr>
                <w:color w:val="000000"/>
              </w:rPr>
            </w:pPr>
            <w:r w:rsidRPr="009808C7">
              <w:rPr>
                <w:color w:val="000000"/>
              </w:rPr>
              <w:t>91.04</w:t>
            </w:r>
          </w:p>
        </w:tc>
        <w:tc>
          <w:tcPr>
            <w:tcW w:w="8080" w:type="dxa"/>
          </w:tcPr>
          <w:p w:rsidR="00BF16E8" w:rsidRPr="009808C7" w:rsidRDefault="00BF16E8" w:rsidP="00381BD9">
            <w:pPr>
              <w:jc w:val="both"/>
              <w:rPr>
                <w:color w:val="000000"/>
                <w:shd w:val="clear" w:color="auto" w:fill="FFFFFF"/>
              </w:rPr>
            </w:pPr>
            <w:r w:rsidRPr="009808C7">
              <w:rPr>
                <w:color w:val="000000"/>
                <w:shd w:val="clear" w:color="auto" w:fill="FFFFFF"/>
              </w:rPr>
              <w:t>Деятельность ботанических садов, зоопарков, государственных природных заповедников и национальных парков </w:t>
            </w:r>
          </w:p>
        </w:tc>
      </w:tr>
    </w:tbl>
    <w:p w:rsidR="00BF16E8" w:rsidRPr="009808C7" w:rsidRDefault="00BF16E8" w:rsidP="00BF16E8">
      <w:pPr>
        <w:widowControl w:val="0"/>
        <w:spacing w:after="0" w:line="240" w:lineRule="auto"/>
        <w:ind w:firstLine="567"/>
        <w:jc w:val="both"/>
        <w:rPr>
          <w:rFonts w:ascii="Times New Roman" w:eastAsia="Times New Roman" w:hAnsi="Times New Roman" w:cs="Times New Roman"/>
          <w:lang w:eastAsia="ru-RU"/>
        </w:rPr>
      </w:pPr>
    </w:p>
    <w:p w:rsidR="00BF16E8" w:rsidRPr="009808C7" w:rsidRDefault="00BF16E8" w:rsidP="00BF16E8">
      <w:pPr>
        <w:widowControl w:val="0"/>
        <w:spacing w:after="0" w:line="240" w:lineRule="auto"/>
        <w:ind w:firstLine="709"/>
        <w:jc w:val="both"/>
        <w:rPr>
          <w:rFonts w:ascii="Times New Roman" w:eastAsia="Times New Roman" w:hAnsi="Times New Roman" w:cs="Times New Roman"/>
          <w:sz w:val="28"/>
          <w:szCs w:val="28"/>
          <w:lang w:eastAsia="ru-RU"/>
        </w:rPr>
      </w:pPr>
      <w:r w:rsidRPr="009808C7">
        <w:rPr>
          <w:rFonts w:ascii="Times New Roman" w:eastAsia="Times New Roman" w:hAnsi="Times New Roman" w:cs="Times New Roman"/>
          <w:sz w:val="28"/>
          <w:szCs w:val="28"/>
          <w:lang w:eastAsia="ru-RU"/>
        </w:rPr>
        <w:t>Данные по состоянию и динамике рынка услуг в сфере культуры за 2017-2018 годы представлены следующим образом:</w:t>
      </w:r>
    </w:p>
    <w:p w:rsidR="00BF16E8" w:rsidRPr="009808C7" w:rsidRDefault="00BF16E8" w:rsidP="00BF16E8">
      <w:pPr>
        <w:widowControl w:val="0"/>
        <w:spacing w:after="0" w:line="240" w:lineRule="auto"/>
        <w:ind w:firstLine="709"/>
        <w:jc w:val="both"/>
        <w:rPr>
          <w:rFonts w:ascii="Times New Roman" w:eastAsia="Times New Roman" w:hAnsi="Times New Roman" w:cs="Times New Roman"/>
          <w:sz w:val="28"/>
          <w:szCs w:val="28"/>
          <w:lang w:eastAsia="ru-RU"/>
        </w:rPr>
      </w:pPr>
    </w:p>
    <w:p w:rsidR="00BF16E8" w:rsidRPr="009808C7" w:rsidRDefault="00BF16E8" w:rsidP="00BF16E8">
      <w:pPr>
        <w:widowControl w:val="0"/>
        <w:spacing w:after="0" w:line="240" w:lineRule="auto"/>
        <w:ind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2.2.39</w:t>
      </w:r>
    </w:p>
    <w:p w:rsidR="00BF16E8" w:rsidRPr="009808C7" w:rsidRDefault="00BF16E8" w:rsidP="00BF16E8">
      <w:pPr>
        <w:widowControl w:val="0"/>
        <w:spacing w:after="0" w:line="240" w:lineRule="auto"/>
        <w:ind w:firstLine="708"/>
        <w:jc w:val="center"/>
        <w:rPr>
          <w:rFonts w:ascii="Times New Roman" w:eastAsia="Times New Roman" w:hAnsi="Times New Roman" w:cs="Times New Roman"/>
          <w:sz w:val="28"/>
          <w:szCs w:val="28"/>
          <w:lang w:eastAsia="ru-RU"/>
        </w:rPr>
      </w:pPr>
      <w:r w:rsidRPr="009808C7">
        <w:rPr>
          <w:rFonts w:ascii="Times New Roman" w:eastAsia="Times New Roman" w:hAnsi="Times New Roman" w:cs="Times New Roman"/>
          <w:sz w:val="24"/>
          <w:szCs w:val="24"/>
          <w:lang w:eastAsia="ru-RU"/>
        </w:rPr>
        <w:t>Динамика рынка услуг в сфере культуры</w:t>
      </w:r>
    </w:p>
    <w:p w:rsidR="00BF16E8" w:rsidRPr="009808C7" w:rsidRDefault="00BF16E8" w:rsidP="00BF16E8">
      <w:pPr>
        <w:spacing w:after="0" w:line="240" w:lineRule="auto"/>
        <w:rPr>
          <w:rFonts w:ascii="Times New Roman" w:eastAsia="Times New Roman" w:hAnsi="Times New Roman" w:cs="Times New Roman"/>
          <w:sz w:val="16"/>
          <w:szCs w:val="16"/>
          <w:lang w:eastAsia="ru-RU"/>
        </w:rPr>
      </w:pPr>
    </w:p>
    <w:p w:rsidR="00BF16E8" w:rsidRPr="009808C7" w:rsidRDefault="00BF16E8" w:rsidP="00BF16E8">
      <w:pPr>
        <w:spacing w:after="0" w:line="240" w:lineRule="auto"/>
        <w:rPr>
          <w:rFonts w:ascii="Times New Roman" w:eastAsia="Times New Roman" w:hAnsi="Times New Roman" w:cs="Times New Roman"/>
          <w:sz w:val="16"/>
          <w:szCs w:val="16"/>
          <w:lang w:eastAsia="ru-RU"/>
        </w:rPr>
      </w:pPr>
    </w:p>
    <w:tbl>
      <w:tblPr>
        <w:tblW w:w="9923"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1559"/>
        <w:gridCol w:w="1135"/>
        <w:gridCol w:w="1276"/>
        <w:gridCol w:w="1559"/>
        <w:gridCol w:w="992"/>
        <w:gridCol w:w="1276"/>
      </w:tblGrid>
      <w:tr w:rsidR="00BF16E8" w:rsidRPr="009808C7" w:rsidTr="00381BD9">
        <w:trPr>
          <w:cantSplit/>
          <w:trHeight w:val="1301"/>
        </w:trPr>
        <w:tc>
          <w:tcPr>
            <w:tcW w:w="2126" w:type="dxa"/>
            <w:tcBorders>
              <w:top w:val="double" w:sz="4" w:space="0" w:color="auto"/>
              <w:left w:val="double" w:sz="4" w:space="0" w:color="auto"/>
              <w:right w:val="double" w:sz="4" w:space="0" w:color="auto"/>
            </w:tcBorders>
          </w:tcPr>
          <w:p w:rsidR="00BF16E8" w:rsidRPr="009808C7" w:rsidRDefault="00BF16E8" w:rsidP="00381BD9">
            <w:pPr>
              <w:spacing w:after="0" w:line="240" w:lineRule="auto"/>
              <w:rPr>
                <w:rFonts w:ascii="Times New Roman" w:eastAsia="Times New Roman" w:hAnsi="Times New Roman" w:cs="Times New Roman"/>
                <w:sz w:val="20"/>
                <w:szCs w:val="16"/>
                <w:lang w:eastAsia="ru-RU"/>
              </w:rPr>
            </w:pPr>
            <w:r w:rsidRPr="009808C7">
              <w:rPr>
                <w:rFonts w:ascii="Times New Roman" w:eastAsia="Times New Roman" w:hAnsi="Times New Roman" w:cs="Times New Roman"/>
                <w:sz w:val="20"/>
                <w:szCs w:val="16"/>
                <w:lang w:eastAsia="ru-RU"/>
              </w:rPr>
              <w:t>Наименование</w:t>
            </w:r>
          </w:p>
        </w:tc>
        <w:tc>
          <w:tcPr>
            <w:tcW w:w="1559" w:type="dxa"/>
            <w:tcBorders>
              <w:top w:val="double" w:sz="4" w:space="0" w:color="auto"/>
              <w:left w:val="double" w:sz="4" w:space="0" w:color="auto"/>
              <w:right w:val="double" w:sz="4" w:space="0" w:color="auto"/>
            </w:tcBorders>
          </w:tcPr>
          <w:p w:rsidR="00BF16E8" w:rsidRPr="009808C7" w:rsidRDefault="00BF16E8" w:rsidP="00381BD9">
            <w:pPr>
              <w:spacing w:after="0" w:line="240" w:lineRule="auto"/>
              <w:rPr>
                <w:rFonts w:ascii="Times New Roman" w:eastAsia="Times New Roman" w:hAnsi="Times New Roman" w:cs="Times New Roman"/>
                <w:sz w:val="20"/>
                <w:szCs w:val="16"/>
                <w:lang w:eastAsia="ru-RU"/>
              </w:rPr>
            </w:pPr>
            <w:r w:rsidRPr="009808C7">
              <w:rPr>
                <w:rFonts w:ascii="Times New Roman" w:eastAsia="Times New Roman" w:hAnsi="Times New Roman" w:cs="Times New Roman"/>
                <w:sz w:val="20"/>
                <w:szCs w:val="16"/>
                <w:lang w:eastAsia="ru-RU"/>
              </w:rPr>
              <w:t>Количество субъектов хозяйственной деятельности в 2017 году, ед.</w:t>
            </w:r>
          </w:p>
        </w:tc>
        <w:tc>
          <w:tcPr>
            <w:tcW w:w="1135" w:type="dxa"/>
            <w:tcBorders>
              <w:top w:val="double" w:sz="4" w:space="0" w:color="auto"/>
              <w:left w:val="double" w:sz="4" w:space="0" w:color="auto"/>
            </w:tcBorders>
          </w:tcPr>
          <w:p w:rsidR="00BF16E8" w:rsidRPr="009808C7" w:rsidRDefault="00BF16E8" w:rsidP="00381BD9">
            <w:pPr>
              <w:spacing w:after="0" w:line="240" w:lineRule="auto"/>
              <w:rPr>
                <w:rFonts w:ascii="Times New Roman" w:eastAsia="Times New Roman" w:hAnsi="Times New Roman" w:cs="Times New Roman"/>
                <w:sz w:val="20"/>
                <w:szCs w:val="16"/>
                <w:lang w:eastAsia="ru-RU"/>
              </w:rPr>
            </w:pPr>
            <w:r w:rsidRPr="009808C7">
              <w:rPr>
                <w:rFonts w:ascii="Times New Roman" w:eastAsia="Times New Roman" w:hAnsi="Times New Roman" w:cs="Times New Roman"/>
                <w:sz w:val="20"/>
                <w:szCs w:val="16"/>
                <w:lang w:eastAsia="ru-RU"/>
              </w:rPr>
              <w:t>Доля от общего количества, %</w:t>
            </w:r>
          </w:p>
        </w:tc>
        <w:tc>
          <w:tcPr>
            <w:tcW w:w="1276" w:type="dxa"/>
            <w:tcBorders>
              <w:top w:val="double" w:sz="4" w:space="0" w:color="auto"/>
              <w:left w:val="double" w:sz="4" w:space="0" w:color="auto"/>
            </w:tcBorders>
          </w:tcPr>
          <w:p w:rsidR="00BF16E8" w:rsidRPr="009808C7" w:rsidRDefault="00BF16E8" w:rsidP="00381BD9">
            <w:pPr>
              <w:spacing w:after="0" w:line="240" w:lineRule="auto"/>
              <w:rPr>
                <w:rFonts w:ascii="Times New Roman" w:eastAsia="Times New Roman" w:hAnsi="Times New Roman" w:cs="Times New Roman"/>
                <w:sz w:val="20"/>
                <w:szCs w:val="16"/>
                <w:lang w:eastAsia="ru-RU"/>
              </w:rPr>
            </w:pPr>
            <w:r w:rsidRPr="009808C7">
              <w:rPr>
                <w:rFonts w:ascii="Times New Roman" w:eastAsia="Times New Roman" w:hAnsi="Times New Roman" w:cs="Times New Roman"/>
                <w:sz w:val="20"/>
                <w:szCs w:val="16"/>
                <w:lang w:eastAsia="ru-RU"/>
              </w:rPr>
              <w:t>Темп роста / снижения (к предыдущему году), %</w:t>
            </w:r>
          </w:p>
        </w:tc>
        <w:tc>
          <w:tcPr>
            <w:tcW w:w="1559" w:type="dxa"/>
            <w:tcBorders>
              <w:top w:val="double" w:sz="4" w:space="0" w:color="auto"/>
              <w:left w:val="double" w:sz="4" w:space="0" w:color="auto"/>
            </w:tcBorders>
          </w:tcPr>
          <w:p w:rsidR="00BF16E8" w:rsidRPr="009808C7" w:rsidRDefault="00BF16E8" w:rsidP="00381BD9">
            <w:pPr>
              <w:spacing w:after="0" w:line="240" w:lineRule="auto"/>
              <w:rPr>
                <w:rFonts w:ascii="Times New Roman" w:eastAsia="Times New Roman" w:hAnsi="Times New Roman" w:cs="Times New Roman"/>
                <w:sz w:val="20"/>
                <w:szCs w:val="16"/>
                <w:lang w:eastAsia="ru-RU"/>
              </w:rPr>
            </w:pPr>
            <w:r w:rsidRPr="009808C7">
              <w:rPr>
                <w:rFonts w:ascii="Times New Roman" w:eastAsia="Times New Roman" w:hAnsi="Times New Roman" w:cs="Times New Roman"/>
                <w:sz w:val="20"/>
                <w:szCs w:val="16"/>
                <w:lang w:eastAsia="ru-RU"/>
              </w:rPr>
              <w:t>Количество субъектов хозяйственной деятельности в 2018 году, ед.</w:t>
            </w:r>
          </w:p>
        </w:tc>
        <w:tc>
          <w:tcPr>
            <w:tcW w:w="992" w:type="dxa"/>
            <w:tcBorders>
              <w:top w:val="double" w:sz="4" w:space="0" w:color="auto"/>
              <w:right w:val="double" w:sz="4" w:space="0" w:color="auto"/>
            </w:tcBorders>
          </w:tcPr>
          <w:p w:rsidR="00BF16E8" w:rsidRPr="009808C7" w:rsidRDefault="00BF16E8" w:rsidP="00381BD9">
            <w:pPr>
              <w:spacing w:after="0" w:line="240" w:lineRule="auto"/>
              <w:rPr>
                <w:rFonts w:ascii="Times New Roman" w:eastAsia="Times New Roman" w:hAnsi="Times New Roman" w:cs="Times New Roman"/>
                <w:sz w:val="20"/>
                <w:szCs w:val="16"/>
                <w:lang w:eastAsia="ru-RU"/>
              </w:rPr>
            </w:pPr>
            <w:r w:rsidRPr="009808C7">
              <w:rPr>
                <w:rFonts w:ascii="Times New Roman" w:eastAsia="Times New Roman" w:hAnsi="Times New Roman" w:cs="Times New Roman"/>
                <w:sz w:val="20"/>
                <w:szCs w:val="16"/>
                <w:lang w:eastAsia="ru-RU"/>
              </w:rPr>
              <w:t>Доля от общего количества, %</w:t>
            </w:r>
          </w:p>
        </w:tc>
        <w:tc>
          <w:tcPr>
            <w:tcW w:w="1276" w:type="dxa"/>
          </w:tcPr>
          <w:p w:rsidR="00BF16E8" w:rsidRPr="009808C7" w:rsidRDefault="00BF16E8" w:rsidP="00381BD9">
            <w:pPr>
              <w:spacing w:after="0" w:line="240" w:lineRule="auto"/>
              <w:rPr>
                <w:rFonts w:ascii="Times New Roman" w:eastAsia="Times New Roman" w:hAnsi="Times New Roman" w:cs="Times New Roman"/>
                <w:sz w:val="20"/>
                <w:szCs w:val="16"/>
                <w:lang w:eastAsia="ru-RU"/>
              </w:rPr>
            </w:pPr>
            <w:r w:rsidRPr="009808C7">
              <w:rPr>
                <w:rFonts w:ascii="Times New Roman" w:eastAsia="Times New Roman" w:hAnsi="Times New Roman" w:cs="Times New Roman"/>
                <w:sz w:val="20"/>
                <w:szCs w:val="16"/>
                <w:lang w:eastAsia="ru-RU"/>
              </w:rPr>
              <w:t>Темп роста / снижения (к предыдущему году), %</w:t>
            </w:r>
          </w:p>
        </w:tc>
      </w:tr>
      <w:tr w:rsidR="00BF16E8" w:rsidRPr="009808C7" w:rsidTr="00381BD9">
        <w:tc>
          <w:tcPr>
            <w:tcW w:w="2126" w:type="dxa"/>
            <w:tcBorders>
              <w:left w:val="double" w:sz="4" w:space="0" w:color="auto"/>
              <w:right w:val="double" w:sz="4" w:space="0" w:color="auto"/>
            </w:tcBorders>
          </w:tcPr>
          <w:p w:rsidR="00BF16E8" w:rsidRPr="009808C7" w:rsidRDefault="00BF16E8" w:rsidP="00381BD9">
            <w:pPr>
              <w:spacing w:after="0" w:line="240" w:lineRule="auto"/>
              <w:rPr>
                <w:rFonts w:ascii="Times New Roman" w:eastAsia="Times New Roman" w:hAnsi="Times New Roman" w:cs="Times New Roman"/>
                <w:szCs w:val="16"/>
                <w:lang w:eastAsia="ru-RU"/>
              </w:rPr>
            </w:pPr>
            <w:r w:rsidRPr="009808C7">
              <w:rPr>
                <w:rFonts w:ascii="Times New Roman" w:eastAsia="Times New Roman" w:hAnsi="Times New Roman" w:cs="Times New Roman"/>
                <w:szCs w:val="16"/>
                <w:lang w:eastAsia="ru-RU"/>
              </w:rPr>
              <w:t xml:space="preserve">ВСЕГО, в </w:t>
            </w:r>
            <w:proofErr w:type="spellStart"/>
            <w:r w:rsidRPr="009808C7">
              <w:rPr>
                <w:rFonts w:ascii="Times New Roman" w:eastAsia="Times New Roman" w:hAnsi="Times New Roman" w:cs="Times New Roman"/>
                <w:szCs w:val="16"/>
                <w:lang w:eastAsia="ru-RU"/>
              </w:rPr>
              <w:t>т.ч</w:t>
            </w:r>
            <w:proofErr w:type="spellEnd"/>
            <w:r w:rsidRPr="009808C7">
              <w:rPr>
                <w:rFonts w:ascii="Times New Roman" w:eastAsia="Times New Roman" w:hAnsi="Times New Roman" w:cs="Times New Roman"/>
                <w:szCs w:val="16"/>
                <w:lang w:eastAsia="ru-RU"/>
              </w:rPr>
              <w:t>.</w:t>
            </w:r>
          </w:p>
        </w:tc>
        <w:tc>
          <w:tcPr>
            <w:tcW w:w="1559" w:type="dxa"/>
            <w:tcBorders>
              <w:left w:val="double" w:sz="4" w:space="0" w:color="auto"/>
              <w:right w:val="double" w:sz="4" w:space="0" w:color="auto"/>
            </w:tcBorders>
          </w:tcPr>
          <w:p w:rsidR="00BF16E8" w:rsidRPr="009808C7" w:rsidRDefault="00BF16E8" w:rsidP="00381BD9">
            <w:pPr>
              <w:spacing w:after="0" w:line="240" w:lineRule="auto"/>
              <w:rPr>
                <w:rFonts w:ascii="Times New Roman" w:eastAsia="Times New Roman" w:hAnsi="Times New Roman" w:cs="Times New Roman"/>
                <w:szCs w:val="16"/>
                <w:lang w:eastAsia="ru-RU"/>
              </w:rPr>
            </w:pPr>
            <w:r w:rsidRPr="009808C7">
              <w:rPr>
                <w:rFonts w:ascii="Times New Roman" w:eastAsia="Times New Roman" w:hAnsi="Times New Roman" w:cs="Times New Roman"/>
                <w:szCs w:val="16"/>
                <w:lang w:eastAsia="ru-RU"/>
              </w:rPr>
              <w:t>272</w:t>
            </w:r>
          </w:p>
        </w:tc>
        <w:tc>
          <w:tcPr>
            <w:tcW w:w="1135" w:type="dxa"/>
            <w:tcBorders>
              <w:left w:val="double" w:sz="4" w:space="0" w:color="auto"/>
            </w:tcBorders>
          </w:tcPr>
          <w:p w:rsidR="00BF16E8" w:rsidRPr="009808C7" w:rsidRDefault="00BF16E8" w:rsidP="00381BD9">
            <w:pPr>
              <w:spacing w:after="0" w:line="240" w:lineRule="auto"/>
              <w:rPr>
                <w:rFonts w:ascii="Times New Roman" w:eastAsia="Times New Roman" w:hAnsi="Times New Roman" w:cs="Times New Roman"/>
                <w:szCs w:val="16"/>
                <w:lang w:eastAsia="ru-RU"/>
              </w:rPr>
            </w:pPr>
            <w:r w:rsidRPr="009808C7">
              <w:rPr>
                <w:rFonts w:ascii="Times New Roman" w:eastAsia="Times New Roman" w:hAnsi="Times New Roman" w:cs="Times New Roman"/>
                <w:szCs w:val="16"/>
                <w:lang w:eastAsia="ru-RU"/>
              </w:rPr>
              <w:t>100</w:t>
            </w:r>
          </w:p>
        </w:tc>
        <w:tc>
          <w:tcPr>
            <w:tcW w:w="1276" w:type="dxa"/>
            <w:tcBorders>
              <w:left w:val="double" w:sz="4" w:space="0" w:color="auto"/>
            </w:tcBorders>
          </w:tcPr>
          <w:p w:rsidR="00BF16E8" w:rsidRPr="009808C7" w:rsidRDefault="00BF16E8" w:rsidP="00381BD9">
            <w:pPr>
              <w:spacing w:after="0" w:line="240" w:lineRule="auto"/>
              <w:rPr>
                <w:rFonts w:ascii="Times New Roman" w:eastAsia="Times New Roman" w:hAnsi="Times New Roman" w:cs="Times New Roman"/>
                <w:szCs w:val="16"/>
                <w:lang w:eastAsia="ru-RU"/>
              </w:rPr>
            </w:pPr>
            <w:r w:rsidRPr="009808C7">
              <w:rPr>
                <w:rFonts w:ascii="Times New Roman" w:eastAsia="Times New Roman" w:hAnsi="Times New Roman" w:cs="Times New Roman"/>
                <w:szCs w:val="16"/>
                <w:lang w:eastAsia="ru-RU"/>
              </w:rPr>
              <w:t>+ 8,4</w:t>
            </w:r>
          </w:p>
        </w:tc>
        <w:tc>
          <w:tcPr>
            <w:tcW w:w="1559" w:type="dxa"/>
            <w:tcBorders>
              <w:left w:val="double" w:sz="4" w:space="0" w:color="auto"/>
            </w:tcBorders>
          </w:tcPr>
          <w:p w:rsidR="00BF16E8" w:rsidRPr="009808C7" w:rsidRDefault="00BF16E8" w:rsidP="00381BD9">
            <w:pPr>
              <w:spacing w:after="0" w:line="240" w:lineRule="auto"/>
              <w:rPr>
                <w:rFonts w:ascii="Times New Roman" w:eastAsia="Times New Roman" w:hAnsi="Times New Roman" w:cs="Times New Roman"/>
                <w:szCs w:val="16"/>
                <w:lang w:eastAsia="ru-RU"/>
              </w:rPr>
            </w:pPr>
            <w:r w:rsidRPr="009808C7">
              <w:rPr>
                <w:rFonts w:ascii="Times New Roman" w:eastAsia="Times New Roman" w:hAnsi="Times New Roman" w:cs="Times New Roman"/>
                <w:szCs w:val="16"/>
                <w:lang w:eastAsia="ru-RU"/>
              </w:rPr>
              <w:t>311</w:t>
            </w:r>
          </w:p>
        </w:tc>
        <w:tc>
          <w:tcPr>
            <w:tcW w:w="992" w:type="dxa"/>
            <w:tcBorders>
              <w:right w:val="double" w:sz="4" w:space="0" w:color="auto"/>
            </w:tcBorders>
          </w:tcPr>
          <w:p w:rsidR="00BF16E8" w:rsidRPr="009808C7" w:rsidRDefault="00BF16E8" w:rsidP="00381BD9">
            <w:pPr>
              <w:spacing w:after="0" w:line="240" w:lineRule="auto"/>
              <w:rPr>
                <w:rFonts w:ascii="Times New Roman" w:eastAsia="Times New Roman" w:hAnsi="Times New Roman" w:cs="Times New Roman"/>
                <w:szCs w:val="16"/>
                <w:lang w:eastAsia="ru-RU"/>
              </w:rPr>
            </w:pPr>
            <w:r w:rsidRPr="009808C7">
              <w:rPr>
                <w:rFonts w:ascii="Times New Roman" w:eastAsia="Times New Roman" w:hAnsi="Times New Roman" w:cs="Times New Roman"/>
                <w:szCs w:val="16"/>
                <w:lang w:eastAsia="ru-RU"/>
              </w:rPr>
              <w:t>100</w:t>
            </w:r>
          </w:p>
        </w:tc>
        <w:tc>
          <w:tcPr>
            <w:tcW w:w="1276" w:type="dxa"/>
            <w:tcBorders>
              <w:right w:val="double" w:sz="4" w:space="0" w:color="auto"/>
            </w:tcBorders>
          </w:tcPr>
          <w:p w:rsidR="00BF16E8" w:rsidRPr="009808C7" w:rsidRDefault="00BF16E8" w:rsidP="00381BD9">
            <w:pPr>
              <w:spacing w:after="0" w:line="240" w:lineRule="auto"/>
              <w:rPr>
                <w:rFonts w:ascii="Times New Roman" w:eastAsia="Times New Roman" w:hAnsi="Times New Roman" w:cs="Times New Roman"/>
                <w:szCs w:val="16"/>
                <w:lang w:eastAsia="ru-RU"/>
              </w:rPr>
            </w:pPr>
            <w:r w:rsidRPr="009808C7">
              <w:rPr>
                <w:rFonts w:ascii="Times New Roman" w:eastAsia="Times New Roman" w:hAnsi="Times New Roman" w:cs="Times New Roman"/>
                <w:szCs w:val="16"/>
                <w:lang w:eastAsia="ru-RU"/>
              </w:rPr>
              <w:t>+ 14,3</w:t>
            </w:r>
          </w:p>
        </w:tc>
      </w:tr>
      <w:tr w:rsidR="00BF16E8" w:rsidRPr="009808C7" w:rsidTr="00381BD9">
        <w:tc>
          <w:tcPr>
            <w:tcW w:w="2126" w:type="dxa"/>
            <w:tcBorders>
              <w:left w:val="double" w:sz="4" w:space="0" w:color="auto"/>
              <w:right w:val="double" w:sz="4" w:space="0" w:color="auto"/>
            </w:tcBorders>
          </w:tcPr>
          <w:p w:rsidR="00BF16E8" w:rsidRPr="009808C7" w:rsidRDefault="00BF16E8" w:rsidP="00381BD9">
            <w:pPr>
              <w:spacing w:after="0" w:line="240" w:lineRule="auto"/>
              <w:rPr>
                <w:rFonts w:ascii="Times New Roman" w:eastAsia="Times New Roman" w:hAnsi="Times New Roman" w:cs="Times New Roman"/>
                <w:szCs w:val="16"/>
                <w:lang w:eastAsia="ru-RU"/>
              </w:rPr>
            </w:pPr>
            <w:r w:rsidRPr="009808C7">
              <w:rPr>
                <w:rFonts w:ascii="Times New Roman" w:eastAsia="Times New Roman" w:hAnsi="Times New Roman" w:cs="Times New Roman"/>
                <w:szCs w:val="16"/>
                <w:lang w:eastAsia="ru-RU"/>
              </w:rPr>
              <w:t>1.Государственные</w:t>
            </w:r>
          </w:p>
        </w:tc>
        <w:tc>
          <w:tcPr>
            <w:tcW w:w="1559" w:type="dxa"/>
            <w:tcBorders>
              <w:left w:val="double" w:sz="4" w:space="0" w:color="auto"/>
              <w:right w:val="double" w:sz="4" w:space="0" w:color="auto"/>
            </w:tcBorders>
          </w:tcPr>
          <w:p w:rsidR="00BF16E8" w:rsidRPr="009808C7" w:rsidRDefault="00BF16E8" w:rsidP="00381BD9">
            <w:pPr>
              <w:spacing w:after="0" w:line="240" w:lineRule="auto"/>
              <w:rPr>
                <w:rFonts w:ascii="Times New Roman" w:eastAsia="Times New Roman" w:hAnsi="Times New Roman" w:cs="Times New Roman"/>
                <w:szCs w:val="16"/>
                <w:lang w:eastAsia="ru-RU"/>
              </w:rPr>
            </w:pPr>
            <w:r w:rsidRPr="009808C7">
              <w:rPr>
                <w:rFonts w:ascii="Times New Roman" w:eastAsia="Times New Roman" w:hAnsi="Times New Roman" w:cs="Times New Roman"/>
                <w:szCs w:val="16"/>
                <w:lang w:eastAsia="ru-RU"/>
              </w:rPr>
              <w:t>14</w:t>
            </w:r>
          </w:p>
        </w:tc>
        <w:tc>
          <w:tcPr>
            <w:tcW w:w="1135" w:type="dxa"/>
            <w:tcBorders>
              <w:left w:val="double" w:sz="4" w:space="0" w:color="auto"/>
            </w:tcBorders>
          </w:tcPr>
          <w:p w:rsidR="00BF16E8" w:rsidRPr="009808C7" w:rsidRDefault="00BF16E8" w:rsidP="00381BD9">
            <w:pPr>
              <w:spacing w:after="0" w:line="240" w:lineRule="auto"/>
              <w:rPr>
                <w:rFonts w:ascii="Times New Roman" w:eastAsia="Times New Roman" w:hAnsi="Times New Roman" w:cs="Times New Roman"/>
                <w:szCs w:val="16"/>
                <w:lang w:eastAsia="ru-RU"/>
              </w:rPr>
            </w:pPr>
            <w:r w:rsidRPr="009808C7">
              <w:rPr>
                <w:rFonts w:ascii="Times New Roman" w:eastAsia="Times New Roman" w:hAnsi="Times New Roman" w:cs="Times New Roman"/>
                <w:szCs w:val="16"/>
                <w:lang w:eastAsia="ru-RU"/>
              </w:rPr>
              <w:t>3,68</w:t>
            </w:r>
          </w:p>
        </w:tc>
        <w:tc>
          <w:tcPr>
            <w:tcW w:w="1276" w:type="dxa"/>
            <w:tcBorders>
              <w:left w:val="double" w:sz="4" w:space="0" w:color="auto"/>
            </w:tcBorders>
          </w:tcPr>
          <w:p w:rsidR="00BF16E8" w:rsidRPr="009808C7" w:rsidRDefault="00BF16E8" w:rsidP="00381BD9">
            <w:pPr>
              <w:spacing w:after="0" w:line="240" w:lineRule="auto"/>
              <w:rPr>
                <w:rFonts w:ascii="Times New Roman" w:eastAsia="Times New Roman" w:hAnsi="Times New Roman" w:cs="Times New Roman"/>
                <w:szCs w:val="16"/>
                <w:lang w:eastAsia="ru-RU"/>
              </w:rPr>
            </w:pPr>
            <w:r w:rsidRPr="009808C7">
              <w:rPr>
                <w:rFonts w:ascii="Times New Roman" w:eastAsia="Times New Roman" w:hAnsi="Times New Roman" w:cs="Times New Roman"/>
                <w:szCs w:val="16"/>
                <w:lang w:eastAsia="ru-RU"/>
              </w:rPr>
              <w:t>Без динамики</w:t>
            </w:r>
          </w:p>
        </w:tc>
        <w:tc>
          <w:tcPr>
            <w:tcW w:w="1559" w:type="dxa"/>
            <w:tcBorders>
              <w:left w:val="double" w:sz="4" w:space="0" w:color="auto"/>
            </w:tcBorders>
          </w:tcPr>
          <w:p w:rsidR="00BF16E8" w:rsidRPr="009808C7" w:rsidRDefault="00BF16E8" w:rsidP="00381BD9">
            <w:pPr>
              <w:spacing w:after="0" w:line="240" w:lineRule="auto"/>
              <w:rPr>
                <w:rFonts w:ascii="Times New Roman" w:eastAsia="Times New Roman" w:hAnsi="Times New Roman" w:cs="Times New Roman"/>
                <w:szCs w:val="16"/>
                <w:lang w:eastAsia="ru-RU"/>
              </w:rPr>
            </w:pPr>
            <w:r w:rsidRPr="009808C7">
              <w:rPr>
                <w:rFonts w:ascii="Times New Roman" w:eastAsia="Times New Roman" w:hAnsi="Times New Roman" w:cs="Times New Roman"/>
                <w:szCs w:val="16"/>
                <w:lang w:eastAsia="ru-RU"/>
              </w:rPr>
              <w:t>14</w:t>
            </w:r>
          </w:p>
        </w:tc>
        <w:tc>
          <w:tcPr>
            <w:tcW w:w="992" w:type="dxa"/>
            <w:tcBorders>
              <w:right w:val="double" w:sz="4" w:space="0" w:color="auto"/>
            </w:tcBorders>
          </w:tcPr>
          <w:p w:rsidR="00BF16E8" w:rsidRPr="009808C7" w:rsidRDefault="00BF16E8" w:rsidP="00381BD9">
            <w:pPr>
              <w:spacing w:after="0" w:line="240" w:lineRule="auto"/>
              <w:rPr>
                <w:rFonts w:ascii="Times New Roman" w:eastAsia="Times New Roman" w:hAnsi="Times New Roman" w:cs="Times New Roman"/>
                <w:szCs w:val="16"/>
                <w:lang w:eastAsia="ru-RU"/>
              </w:rPr>
            </w:pPr>
            <w:r w:rsidRPr="009808C7">
              <w:rPr>
                <w:rFonts w:ascii="Times New Roman" w:eastAsia="Times New Roman" w:hAnsi="Times New Roman" w:cs="Times New Roman"/>
                <w:szCs w:val="16"/>
                <w:lang w:eastAsia="ru-RU"/>
              </w:rPr>
              <w:t>3,68</w:t>
            </w:r>
          </w:p>
        </w:tc>
        <w:tc>
          <w:tcPr>
            <w:tcW w:w="1276" w:type="dxa"/>
            <w:tcBorders>
              <w:right w:val="double" w:sz="4" w:space="0" w:color="auto"/>
            </w:tcBorders>
          </w:tcPr>
          <w:p w:rsidR="00BF16E8" w:rsidRPr="009808C7" w:rsidRDefault="00BF16E8" w:rsidP="00381BD9">
            <w:pPr>
              <w:spacing w:after="0" w:line="240" w:lineRule="auto"/>
              <w:rPr>
                <w:rFonts w:ascii="Times New Roman" w:eastAsia="Times New Roman" w:hAnsi="Times New Roman" w:cs="Times New Roman"/>
                <w:szCs w:val="16"/>
                <w:lang w:eastAsia="ru-RU"/>
              </w:rPr>
            </w:pPr>
            <w:r w:rsidRPr="009808C7">
              <w:rPr>
                <w:rFonts w:ascii="Times New Roman" w:eastAsia="Times New Roman" w:hAnsi="Times New Roman" w:cs="Times New Roman"/>
                <w:szCs w:val="16"/>
                <w:lang w:eastAsia="ru-RU"/>
              </w:rPr>
              <w:t>Без динамики</w:t>
            </w:r>
          </w:p>
        </w:tc>
      </w:tr>
      <w:tr w:rsidR="00BF16E8" w:rsidRPr="009808C7" w:rsidTr="00381BD9">
        <w:tc>
          <w:tcPr>
            <w:tcW w:w="2126" w:type="dxa"/>
            <w:tcBorders>
              <w:left w:val="double" w:sz="4" w:space="0" w:color="auto"/>
              <w:right w:val="double" w:sz="4" w:space="0" w:color="auto"/>
            </w:tcBorders>
          </w:tcPr>
          <w:p w:rsidR="00BF16E8" w:rsidRPr="009808C7" w:rsidRDefault="00BF16E8" w:rsidP="00381BD9">
            <w:pPr>
              <w:spacing w:after="0" w:line="240" w:lineRule="auto"/>
              <w:rPr>
                <w:rFonts w:ascii="Times New Roman" w:eastAsia="Times New Roman" w:hAnsi="Times New Roman" w:cs="Times New Roman"/>
                <w:szCs w:val="16"/>
                <w:lang w:eastAsia="ru-RU"/>
              </w:rPr>
            </w:pPr>
            <w:r w:rsidRPr="009808C7">
              <w:rPr>
                <w:rFonts w:ascii="Times New Roman" w:eastAsia="Times New Roman" w:hAnsi="Times New Roman" w:cs="Times New Roman"/>
                <w:szCs w:val="16"/>
                <w:lang w:eastAsia="ru-RU"/>
              </w:rPr>
              <w:t>2.</w:t>
            </w:r>
            <w:r>
              <w:rPr>
                <w:rFonts w:ascii="Times New Roman" w:eastAsia="Times New Roman" w:hAnsi="Times New Roman" w:cs="Times New Roman"/>
                <w:szCs w:val="16"/>
                <w:lang w:eastAsia="ru-RU"/>
              </w:rPr>
              <w:t xml:space="preserve"> </w:t>
            </w:r>
            <w:r w:rsidRPr="009808C7">
              <w:rPr>
                <w:rFonts w:ascii="Times New Roman" w:eastAsia="Times New Roman" w:hAnsi="Times New Roman" w:cs="Times New Roman"/>
                <w:szCs w:val="16"/>
                <w:lang w:eastAsia="ru-RU"/>
              </w:rPr>
              <w:t>Муниципальные</w:t>
            </w:r>
          </w:p>
        </w:tc>
        <w:tc>
          <w:tcPr>
            <w:tcW w:w="1559" w:type="dxa"/>
            <w:tcBorders>
              <w:left w:val="double" w:sz="4" w:space="0" w:color="auto"/>
              <w:right w:val="double" w:sz="4" w:space="0" w:color="auto"/>
            </w:tcBorders>
          </w:tcPr>
          <w:p w:rsidR="00BF16E8" w:rsidRPr="009808C7" w:rsidRDefault="00BF16E8" w:rsidP="00381BD9">
            <w:pPr>
              <w:spacing w:after="0" w:line="240" w:lineRule="auto"/>
              <w:rPr>
                <w:rFonts w:ascii="Times New Roman" w:eastAsia="Times New Roman" w:hAnsi="Times New Roman" w:cs="Times New Roman"/>
                <w:szCs w:val="16"/>
                <w:lang w:eastAsia="ru-RU"/>
              </w:rPr>
            </w:pPr>
            <w:r w:rsidRPr="009808C7">
              <w:rPr>
                <w:rFonts w:ascii="Times New Roman" w:eastAsia="Times New Roman" w:hAnsi="Times New Roman" w:cs="Times New Roman"/>
                <w:szCs w:val="16"/>
                <w:lang w:eastAsia="ru-RU"/>
              </w:rPr>
              <w:t>85</w:t>
            </w:r>
          </w:p>
        </w:tc>
        <w:tc>
          <w:tcPr>
            <w:tcW w:w="1135" w:type="dxa"/>
            <w:tcBorders>
              <w:left w:val="double" w:sz="4" w:space="0" w:color="auto"/>
            </w:tcBorders>
          </w:tcPr>
          <w:p w:rsidR="00BF16E8" w:rsidRPr="009808C7" w:rsidRDefault="00BF16E8" w:rsidP="00381BD9">
            <w:pPr>
              <w:spacing w:after="0" w:line="240" w:lineRule="auto"/>
              <w:rPr>
                <w:rFonts w:ascii="Times New Roman" w:eastAsia="Times New Roman" w:hAnsi="Times New Roman" w:cs="Times New Roman"/>
                <w:szCs w:val="16"/>
                <w:lang w:eastAsia="ru-RU"/>
              </w:rPr>
            </w:pPr>
            <w:r w:rsidRPr="009808C7">
              <w:rPr>
                <w:rFonts w:ascii="Times New Roman" w:eastAsia="Times New Roman" w:hAnsi="Times New Roman" w:cs="Times New Roman"/>
                <w:szCs w:val="16"/>
                <w:lang w:eastAsia="ru-RU"/>
              </w:rPr>
              <w:t>31,25</w:t>
            </w:r>
          </w:p>
        </w:tc>
        <w:tc>
          <w:tcPr>
            <w:tcW w:w="1276" w:type="dxa"/>
            <w:tcBorders>
              <w:left w:val="double" w:sz="4" w:space="0" w:color="auto"/>
            </w:tcBorders>
          </w:tcPr>
          <w:p w:rsidR="00BF16E8" w:rsidRPr="009808C7" w:rsidRDefault="00BF16E8" w:rsidP="00381BD9">
            <w:pPr>
              <w:spacing w:after="0" w:line="240" w:lineRule="auto"/>
              <w:rPr>
                <w:rFonts w:ascii="Times New Roman" w:eastAsia="Times New Roman" w:hAnsi="Times New Roman" w:cs="Times New Roman"/>
                <w:szCs w:val="16"/>
                <w:lang w:eastAsia="ru-RU"/>
              </w:rPr>
            </w:pPr>
            <w:r w:rsidRPr="009808C7">
              <w:rPr>
                <w:rFonts w:ascii="Times New Roman" w:eastAsia="Times New Roman" w:hAnsi="Times New Roman" w:cs="Times New Roman"/>
                <w:szCs w:val="16"/>
                <w:lang w:eastAsia="ru-RU"/>
              </w:rPr>
              <w:t>- 1,2</w:t>
            </w:r>
          </w:p>
        </w:tc>
        <w:tc>
          <w:tcPr>
            <w:tcW w:w="1559" w:type="dxa"/>
            <w:tcBorders>
              <w:left w:val="double" w:sz="4" w:space="0" w:color="auto"/>
            </w:tcBorders>
          </w:tcPr>
          <w:p w:rsidR="00BF16E8" w:rsidRPr="009808C7" w:rsidRDefault="00BF16E8" w:rsidP="00381BD9">
            <w:pPr>
              <w:spacing w:after="0" w:line="240" w:lineRule="auto"/>
              <w:rPr>
                <w:rFonts w:ascii="Times New Roman" w:eastAsia="Times New Roman" w:hAnsi="Times New Roman" w:cs="Times New Roman"/>
                <w:szCs w:val="16"/>
                <w:lang w:eastAsia="ru-RU"/>
              </w:rPr>
            </w:pPr>
            <w:r w:rsidRPr="009808C7">
              <w:rPr>
                <w:rFonts w:ascii="Times New Roman" w:eastAsia="Times New Roman" w:hAnsi="Times New Roman" w:cs="Times New Roman"/>
                <w:szCs w:val="16"/>
                <w:lang w:eastAsia="ru-RU"/>
              </w:rPr>
              <w:t>85</w:t>
            </w:r>
          </w:p>
        </w:tc>
        <w:tc>
          <w:tcPr>
            <w:tcW w:w="992" w:type="dxa"/>
            <w:tcBorders>
              <w:right w:val="double" w:sz="4" w:space="0" w:color="auto"/>
            </w:tcBorders>
          </w:tcPr>
          <w:p w:rsidR="00BF16E8" w:rsidRPr="009808C7" w:rsidRDefault="00BF16E8" w:rsidP="00381BD9">
            <w:pPr>
              <w:spacing w:after="0" w:line="240" w:lineRule="auto"/>
              <w:rPr>
                <w:rFonts w:ascii="Times New Roman" w:eastAsia="Times New Roman" w:hAnsi="Times New Roman" w:cs="Times New Roman"/>
                <w:szCs w:val="16"/>
                <w:lang w:eastAsia="ru-RU"/>
              </w:rPr>
            </w:pPr>
            <w:r w:rsidRPr="009808C7">
              <w:rPr>
                <w:rFonts w:ascii="Times New Roman" w:eastAsia="Times New Roman" w:hAnsi="Times New Roman" w:cs="Times New Roman"/>
                <w:szCs w:val="16"/>
                <w:lang w:eastAsia="ru-RU"/>
              </w:rPr>
              <w:t>31,25</w:t>
            </w:r>
          </w:p>
        </w:tc>
        <w:tc>
          <w:tcPr>
            <w:tcW w:w="1276" w:type="dxa"/>
            <w:tcBorders>
              <w:right w:val="double" w:sz="4" w:space="0" w:color="auto"/>
            </w:tcBorders>
          </w:tcPr>
          <w:p w:rsidR="00BF16E8" w:rsidRPr="009808C7" w:rsidRDefault="00BF16E8" w:rsidP="00381BD9">
            <w:pPr>
              <w:spacing w:after="0" w:line="240" w:lineRule="auto"/>
              <w:rPr>
                <w:rFonts w:ascii="Times New Roman" w:eastAsia="Times New Roman" w:hAnsi="Times New Roman" w:cs="Times New Roman"/>
                <w:szCs w:val="16"/>
                <w:lang w:eastAsia="ru-RU"/>
              </w:rPr>
            </w:pPr>
            <w:r w:rsidRPr="009808C7">
              <w:rPr>
                <w:rFonts w:ascii="Times New Roman" w:eastAsia="Times New Roman" w:hAnsi="Times New Roman" w:cs="Times New Roman"/>
                <w:szCs w:val="16"/>
                <w:lang w:eastAsia="ru-RU"/>
              </w:rPr>
              <w:t>Без динамики</w:t>
            </w:r>
          </w:p>
        </w:tc>
      </w:tr>
      <w:tr w:rsidR="00BF16E8" w:rsidRPr="009808C7" w:rsidTr="00381BD9">
        <w:tc>
          <w:tcPr>
            <w:tcW w:w="2126" w:type="dxa"/>
            <w:tcBorders>
              <w:left w:val="double" w:sz="4" w:space="0" w:color="auto"/>
              <w:right w:val="double" w:sz="4" w:space="0" w:color="auto"/>
            </w:tcBorders>
          </w:tcPr>
          <w:p w:rsidR="00BF16E8" w:rsidRPr="009808C7" w:rsidRDefault="00BF16E8" w:rsidP="00381BD9">
            <w:pPr>
              <w:spacing w:after="0" w:line="240" w:lineRule="auto"/>
              <w:rPr>
                <w:rFonts w:ascii="Times New Roman" w:eastAsia="Times New Roman" w:hAnsi="Times New Roman" w:cs="Times New Roman"/>
                <w:szCs w:val="16"/>
                <w:lang w:eastAsia="ru-RU"/>
              </w:rPr>
            </w:pPr>
            <w:r w:rsidRPr="009808C7">
              <w:rPr>
                <w:rFonts w:ascii="Times New Roman" w:eastAsia="Times New Roman" w:hAnsi="Times New Roman" w:cs="Times New Roman"/>
                <w:szCs w:val="16"/>
                <w:lang w:eastAsia="ru-RU"/>
              </w:rPr>
              <w:t>3.</w:t>
            </w:r>
            <w:r>
              <w:rPr>
                <w:rFonts w:ascii="Times New Roman" w:eastAsia="Times New Roman" w:hAnsi="Times New Roman" w:cs="Times New Roman"/>
                <w:szCs w:val="16"/>
                <w:lang w:eastAsia="ru-RU"/>
              </w:rPr>
              <w:t xml:space="preserve"> </w:t>
            </w:r>
            <w:r w:rsidRPr="009808C7">
              <w:rPr>
                <w:rFonts w:ascii="Times New Roman" w:eastAsia="Times New Roman" w:hAnsi="Times New Roman" w:cs="Times New Roman"/>
                <w:szCs w:val="16"/>
                <w:lang w:eastAsia="ru-RU"/>
              </w:rPr>
              <w:t xml:space="preserve">не государственные, </w:t>
            </w:r>
          </w:p>
          <w:p w:rsidR="00BF16E8" w:rsidRPr="009808C7" w:rsidRDefault="00BF16E8" w:rsidP="00381BD9">
            <w:pPr>
              <w:spacing w:after="0" w:line="240" w:lineRule="auto"/>
              <w:rPr>
                <w:rFonts w:ascii="Times New Roman" w:eastAsia="Times New Roman" w:hAnsi="Times New Roman" w:cs="Times New Roman"/>
                <w:szCs w:val="16"/>
                <w:lang w:eastAsia="ru-RU"/>
              </w:rPr>
            </w:pPr>
            <w:r w:rsidRPr="009808C7">
              <w:rPr>
                <w:rFonts w:ascii="Times New Roman" w:eastAsia="Times New Roman" w:hAnsi="Times New Roman" w:cs="Times New Roman"/>
                <w:szCs w:val="16"/>
                <w:lang w:eastAsia="ru-RU"/>
              </w:rPr>
              <w:t xml:space="preserve">в </w:t>
            </w:r>
            <w:proofErr w:type="spellStart"/>
            <w:r w:rsidRPr="009808C7">
              <w:rPr>
                <w:rFonts w:ascii="Times New Roman" w:eastAsia="Times New Roman" w:hAnsi="Times New Roman" w:cs="Times New Roman"/>
                <w:szCs w:val="16"/>
                <w:lang w:eastAsia="ru-RU"/>
              </w:rPr>
              <w:t>т.ч</w:t>
            </w:r>
            <w:proofErr w:type="spellEnd"/>
            <w:r w:rsidRPr="009808C7">
              <w:rPr>
                <w:rFonts w:ascii="Times New Roman" w:eastAsia="Times New Roman" w:hAnsi="Times New Roman" w:cs="Times New Roman"/>
                <w:szCs w:val="16"/>
                <w:lang w:eastAsia="ru-RU"/>
              </w:rPr>
              <w:t>.</w:t>
            </w:r>
          </w:p>
        </w:tc>
        <w:tc>
          <w:tcPr>
            <w:tcW w:w="1559" w:type="dxa"/>
            <w:tcBorders>
              <w:left w:val="double" w:sz="4" w:space="0" w:color="auto"/>
              <w:right w:val="double" w:sz="4" w:space="0" w:color="auto"/>
            </w:tcBorders>
          </w:tcPr>
          <w:p w:rsidR="00BF16E8" w:rsidRPr="009808C7" w:rsidRDefault="00BF16E8" w:rsidP="00381BD9">
            <w:pPr>
              <w:spacing w:after="0" w:line="240" w:lineRule="auto"/>
              <w:rPr>
                <w:rFonts w:ascii="Times New Roman" w:eastAsia="Times New Roman" w:hAnsi="Times New Roman" w:cs="Times New Roman"/>
                <w:szCs w:val="16"/>
                <w:lang w:eastAsia="ru-RU"/>
              </w:rPr>
            </w:pPr>
            <w:r w:rsidRPr="009808C7">
              <w:rPr>
                <w:rFonts w:ascii="Times New Roman" w:eastAsia="Times New Roman" w:hAnsi="Times New Roman" w:cs="Times New Roman"/>
                <w:szCs w:val="16"/>
                <w:lang w:eastAsia="ru-RU"/>
              </w:rPr>
              <w:t>173</w:t>
            </w:r>
          </w:p>
        </w:tc>
        <w:tc>
          <w:tcPr>
            <w:tcW w:w="1135" w:type="dxa"/>
            <w:tcBorders>
              <w:left w:val="double" w:sz="4" w:space="0" w:color="auto"/>
            </w:tcBorders>
          </w:tcPr>
          <w:p w:rsidR="00BF16E8" w:rsidRPr="009808C7" w:rsidRDefault="00BF16E8" w:rsidP="00381BD9">
            <w:pPr>
              <w:spacing w:after="0" w:line="240" w:lineRule="auto"/>
              <w:rPr>
                <w:rFonts w:ascii="Times New Roman" w:eastAsia="Times New Roman" w:hAnsi="Times New Roman" w:cs="Times New Roman"/>
                <w:szCs w:val="16"/>
                <w:lang w:eastAsia="ru-RU"/>
              </w:rPr>
            </w:pPr>
            <w:r w:rsidRPr="009808C7">
              <w:rPr>
                <w:rFonts w:ascii="Times New Roman" w:eastAsia="Times New Roman" w:hAnsi="Times New Roman" w:cs="Times New Roman"/>
                <w:szCs w:val="16"/>
                <w:lang w:eastAsia="ru-RU"/>
              </w:rPr>
              <w:t>63,6</w:t>
            </w:r>
          </w:p>
        </w:tc>
        <w:tc>
          <w:tcPr>
            <w:tcW w:w="1276" w:type="dxa"/>
            <w:tcBorders>
              <w:left w:val="double" w:sz="4" w:space="0" w:color="auto"/>
            </w:tcBorders>
          </w:tcPr>
          <w:p w:rsidR="00BF16E8" w:rsidRPr="009808C7" w:rsidRDefault="00BF16E8" w:rsidP="00381BD9">
            <w:pPr>
              <w:spacing w:after="0" w:line="240" w:lineRule="auto"/>
              <w:rPr>
                <w:rFonts w:ascii="Times New Roman" w:eastAsia="Times New Roman" w:hAnsi="Times New Roman" w:cs="Times New Roman"/>
                <w:szCs w:val="16"/>
                <w:lang w:eastAsia="ru-RU"/>
              </w:rPr>
            </w:pPr>
            <w:r w:rsidRPr="009808C7">
              <w:rPr>
                <w:rFonts w:ascii="Times New Roman" w:eastAsia="Times New Roman" w:hAnsi="Times New Roman" w:cs="Times New Roman"/>
                <w:szCs w:val="16"/>
                <w:lang w:eastAsia="ru-RU"/>
              </w:rPr>
              <w:t>+ 14,6</w:t>
            </w:r>
          </w:p>
        </w:tc>
        <w:tc>
          <w:tcPr>
            <w:tcW w:w="1559" w:type="dxa"/>
            <w:tcBorders>
              <w:left w:val="double" w:sz="4" w:space="0" w:color="auto"/>
            </w:tcBorders>
          </w:tcPr>
          <w:p w:rsidR="00BF16E8" w:rsidRPr="009808C7" w:rsidRDefault="00BF16E8" w:rsidP="00381BD9">
            <w:pPr>
              <w:spacing w:after="0" w:line="240" w:lineRule="auto"/>
              <w:rPr>
                <w:rFonts w:ascii="Times New Roman" w:eastAsia="Times New Roman" w:hAnsi="Times New Roman" w:cs="Times New Roman"/>
                <w:szCs w:val="16"/>
                <w:lang w:eastAsia="ru-RU"/>
              </w:rPr>
            </w:pPr>
            <w:r w:rsidRPr="009808C7">
              <w:rPr>
                <w:rFonts w:ascii="Times New Roman" w:eastAsia="Times New Roman" w:hAnsi="Times New Roman" w:cs="Times New Roman"/>
                <w:szCs w:val="16"/>
                <w:lang w:eastAsia="ru-RU"/>
              </w:rPr>
              <w:t>212</w:t>
            </w:r>
          </w:p>
        </w:tc>
        <w:tc>
          <w:tcPr>
            <w:tcW w:w="992" w:type="dxa"/>
            <w:tcBorders>
              <w:right w:val="double" w:sz="4" w:space="0" w:color="auto"/>
            </w:tcBorders>
          </w:tcPr>
          <w:p w:rsidR="00BF16E8" w:rsidRPr="009808C7" w:rsidRDefault="00BF16E8" w:rsidP="00381BD9">
            <w:pPr>
              <w:spacing w:after="0" w:line="240" w:lineRule="auto"/>
              <w:rPr>
                <w:rFonts w:ascii="Times New Roman" w:eastAsia="Times New Roman" w:hAnsi="Times New Roman" w:cs="Times New Roman"/>
                <w:szCs w:val="16"/>
                <w:lang w:eastAsia="ru-RU"/>
              </w:rPr>
            </w:pPr>
            <w:r w:rsidRPr="009808C7">
              <w:rPr>
                <w:rFonts w:ascii="Times New Roman" w:eastAsia="Times New Roman" w:hAnsi="Times New Roman" w:cs="Times New Roman"/>
                <w:szCs w:val="16"/>
                <w:lang w:eastAsia="ru-RU"/>
              </w:rPr>
              <w:t>68,1</w:t>
            </w:r>
          </w:p>
        </w:tc>
        <w:tc>
          <w:tcPr>
            <w:tcW w:w="1276" w:type="dxa"/>
            <w:tcBorders>
              <w:right w:val="double" w:sz="4" w:space="0" w:color="auto"/>
            </w:tcBorders>
          </w:tcPr>
          <w:p w:rsidR="00BF16E8" w:rsidRPr="009808C7" w:rsidRDefault="00BF16E8" w:rsidP="00381BD9">
            <w:pPr>
              <w:spacing w:after="0" w:line="240" w:lineRule="auto"/>
              <w:rPr>
                <w:rFonts w:ascii="Times New Roman" w:eastAsia="Times New Roman" w:hAnsi="Times New Roman" w:cs="Times New Roman"/>
                <w:szCs w:val="16"/>
                <w:lang w:eastAsia="ru-RU"/>
              </w:rPr>
            </w:pPr>
            <w:r w:rsidRPr="009808C7">
              <w:rPr>
                <w:rFonts w:ascii="Times New Roman" w:eastAsia="Times New Roman" w:hAnsi="Times New Roman" w:cs="Times New Roman"/>
                <w:szCs w:val="16"/>
                <w:lang w:eastAsia="ru-RU"/>
              </w:rPr>
              <w:t>+22,5</w:t>
            </w:r>
          </w:p>
          <w:p w:rsidR="00BF16E8" w:rsidRPr="009808C7" w:rsidRDefault="00BF16E8" w:rsidP="00381BD9">
            <w:pPr>
              <w:spacing w:after="0" w:line="240" w:lineRule="auto"/>
              <w:rPr>
                <w:rFonts w:ascii="Times New Roman" w:eastAsia="Times New Roman" w:hAnsi="Times New Roman" w:cs="Times New Roman"/>
                <w:szCs w:val="16"/>
                <w:lang w:eastAsia="ru-RU"/>
              </w:rPr>
            </w:pPr>
          </w:p>
        </w:tc>
      </w:tr>
      <w:tr w:rsidR="00BF16E8" w:rsidRPr="009808C7" w:rsidTr="00381BD9">
        <w:tc>
          <w:tcPr>
            <w:tcW w:w="2126" w:type="dxa"/>
            <w:tcBorders>
              <w:left w:val="double" w:sz="4" w:space="0" w:color="auto"/>
              <w:right w:val="double" w:sz="4" w:space="0" w:color="auto"/>
            </w:tcBorders>
          </w:tcPr>
          <w:p w:rsidR="00BF16E8" w:rsidRPr="009808C7" w:rsidRDefault="00BF16E8" w:rsidP="00381BD9">
            <w:pPr>
              <w:spacing w:after="0" w:line="240" w:lineRule="auto"/>
              <w:rPr>
                <w:rFonts w:ascii="Times New Roman" w:eastAsia="Times New Roman" w:hAnsi="Times New Roman" w:cs="Times New Roman"/>
                <w:szCs w:val="16"/>
                <w:lang w:eastAsia="ru-RU"/>
              </w:rPr>
            </w:pPr>
            <w:r w:rsidRPr="009808C7">
              <w:rPr>
                <w:rFonts w:ascii="Times New Roman" w:eastAsia="Times New Roman" w:hAnsi="Times New Roman" w:cs="Times New Roman"/>
                <w:szCs w:val="16"/>
                <w:lang w:eastAsia="ru-RU"/>
              </w:rPr>
              <w:t xml:space="preserve">1) индивидуальные предприниматели, в </w:t>
            </w:r>
            <w:proofErr w:type="spellStart"/>
            <w:r w:rsidRPr="009808C7">
              <w:rPr>
                <w:rFonts w:ascii="Times New Roman" w:eastAsia="Times New Roman" w:hAnsi="Times New Roman" w:cs="Times New Roman"/>
                <w:szCs w:val="16"/>
                <w:lang w:eastAsia="ru-RU"/>
              </w:rPr>
              <w:t>т.ч</w:t>
            </w:r>
            <w:proofErr w:type="spellEnd"/>
            <w:r w:rsidRPr="009808C7">
              <w:rPr>
                <w:rFonts w:ascii="Times New Roman" w:eastAsia="Times New Roman" w:hAnsi="Times New Roman" w:cs="Times New Roman"/>
                <w:szCs w:val="16"/>
                <w:lang w:eastAsia="ru-RU"/>
              </w:rPr>
              <w:t>.</w:t>
            </w:r>
          </w:p>
        </w:tc>
        <w:tc>
          <w:tcPr>
            <w:tcW w:w="1559" w:type="dxa"/>
            <w:tcBorders>
              <w:left w:val="double" w:sz="4" w:space="0" w:color="auto"/>
              <w:right w:val="double" w:sz="4" w:space="0" w:color="auto"/>
            </w:tcBorders>
          </w:tcPr>
          <w:p w:rsidR="00BF16E8" w:rsidRPr="009808C7" w:rsidRDefault="00BF16E8" w:rsidP="00381BD9">
            <w:pPr>
              <w:spacing w:after="0" w:line="240" w:lineRule="auto"/>
              <w:rPr>
                <w:rFonts w:ascii="Times New Roman" w:eastAsia="Times New Roman" w:hAnsi="Times New Roman" w:cs="Times New Roman"/>
                <w:szCs w:val="16"/>
                <w:lang w:eastAsia="ru-RU"/>
              </w:rPr>
            </w:pPr>
            <w:r w:rsidRPr="009808C7">
              <w:rPr>
                <w:rFonts w:ascii="Times New Roman" w:eastAsia="Times New Roman" w:hAnsi="Times New Roman" w:cs="Times New Roman"/>
                <w:szCs w:val="16"/>
                <w:lang w:eastAsia="ru-RU"/>
              </w:rPr>
              <w:t>128</w:t>
            </w:r>
          </w:p>
        </w:tc>
        <w:tc>
          <w:tcPr>
            <w:tcW w:w="1135" w:type="dxa"/>
            <w:tcBorders>
              <w:left w:val="double" w:sz="4" w:space="0" w:color="auto"/>
            </w:tcBorders>
          </w:tcPr>
          <w:p w:rsidR="00BF16E8" w:rsidRPr="009808C7" w:rsidRDefault="00BF16E8" w:rsidP="00381BD9">
            <w:pPr>
              <w:spacing w:after="0" w:line="240" w:lineRule="auto"/>
              <w:rPr>
                <w:rFonts w:ascii="Times New Roman" w:eastAsia="Times New Roman" w:hAnsi="Times New Roman" w:cs="Times New Roman"/>
                <w:szCs w:val="16"/>
                <w:lang w:eastAsia="ru-RU"/>
              </w:rPr>
            </w:pPr>
            <w:r w:rsidRPr="009808C7">
              <w:rPr>
                <w:rFonts w:ascii="Times New Roman" w:eastAsia="Times New Roman" w:hAnsi="Times New Roman" w:cs="Times New Roman"/>
                <w:szCs w:val="16"/>
                <w:lang w:eastAsia="ru-RU"/>
              </w:rPr>
              <w:t>47,06</w:t>
            </w:r>
          </w:p>
        </w:tc>
        <w:tc>
          <w:tcPr>
            <w:tcW w:w="1276" w:type="dxa"/>
            <w:tcBorders>
              <w:left w:val="double" w:sz="4" w:space="0" w:color="auto"/>
            </w:tcBorders>
          </w:tcPr>
          <w:p w:rsidR="00BF16E8" w:rsidRPr="009808C7" w:rsidRDefault="00BF16E8" w:rsidP="00381BD9">
            <w:pPr>
              <w:spacing w:after="0" w:line="240" w:lineRule="auto"/>
              <w:rPr>
                <w:rFonts w:ascii="Times New Roman" w:eastAsia="Times New Roman" w:hAnsi="Times New Roman" w:cs="Times New Roman"/>
                <w:szCs w:val="16"/>
                <w:lang w:eastAsia="ru-RU"/>
              </w:rPr>
            </w:pPr>
            <w:r w:rsidRPr="009808C7">
              <w:rPr>
                <w:rFonts w:ascii="Times New Roman" w:eastAsia="Times New Roman" w:hAnsi="Times New Roman" w:cs="Times New Roman"/>
                <w:szCs w:val="16"/>
                <w:lang w:eastAsia="ru-RU"/>
              </w:rPr>
              <w:t>+ 18,6</w:t>
            </w:r>
          </w:p>
        </w:tc>
        <w:tc>
          <w:tcPr>
            <w:tcW w:w="1559" w:type="dxa"/>
            <w:tcBorders>
              <w:left w:val="double" w:sz="4" w:space="0" w:color="auto"/>
            </w:tcBorders>
          </w:tcPr>
          <w:p w:rsidR="00BF16E8" w:rsidRPr="009808C7" w:rsidRDefault="00BF16E8" w:rsidP="00381BD9">
            <w:pPr>
              <w:spacing w:after="0" w:line="240" w:lineRule="auto"/>
              <w:rPr>
                <w:rFonts w:ascii="Times New Roman" w:eastAsia="Times New Roman" w:hAnsi="Times New Roman" w:cs="Times New Roman"/>
                <w:szCs w:val="16"/>
                <w:lang w:eastAsia="ru-RU"/>
              </w:rPr>
            </w:pPr>
            <w:r w:rsidRPr="009808C7">
              <w:rPr>
                <w:rFonts w:ascii="Times New Roman" w:eastAsia="Times New Roman" w:hAnsi="Times New Roman" w:cs="Times New Roman"/>
                <w:szCs w:val="16"/>
                <w:lang w:eastAsia="ru-RU"/>
              </w:rPr>
              <w:t>161</w:t>
            </w:r>
          </w:p>
        </w:tc>
        <w:tc>
          <w:tcPr>
            <w:tcW w:w="992" w:type="dxa"/>
            <w:tcBorders>
              <w:right w:val="double" w:sz="4" w:space="0" w:color="auto"/>
            </w:tcBorders>
          </w:tcPr>
          <w:p w:rsidR="00BF16E8" w:rsidRPr="009808C7" w:rsidRDefault="00BF16E8" w:rsidP="00381BD9">
            <w:pPr>
              <w:spacing w:after="0" w:line="240" w:lineRule="auto"/>
              <w:rPr>
                <w:rFonts w:ascii="Times New Roman" w:eastAsia="Times New Roman" w:hAnsi="Times New Roman" w:cs="Times New Roman"/>
                <w:szCs w:val="16"/>
                <w:lang w:eastAsia="ru-RU"/>
              </w:rPr>
            </w:pPr>
            <w:r w:rsidRPr="009808C7">
              <w:rPr>
                <w:rFonts w:ascii="Times New Roman" w:eastAsia="Times New Roman" w:hAnsi="Times New Roman" w:cs="Times New Roman"/>
                <w:szCs w:val="16"/>
                <w:lang w:eastAsia="ru-RU"/>
              </w:rPr>
              <w:t>51,8</w:t>
            </w:r>
          </w:p>
        </w:tc>
        <w:tc>
          <w:tcPr>
            <w:tcW w:w="1276" w:type="dxa"/>
            <w:tcBorders>
              <w:right w:val="double" w:sz="4" w:space="0" w:color="auto"/>
            </w:tcBorders>
          </w:tcPr>
          <w:p w:rsidR="00BF16E8" w:rsidRPr="009808C7" w:rsidRDefault="00BF16E8" w:rsidP="00381BD9">
            <w:pPr>
              <w:spacing w:after="0" w:line="240" w:lineRule="auto"/>
              <w:rPr>
                <w:rFonts w:ascii="Times New Roman" w:eastAsia="Times New Roman" w:hAnsi="Times New Roman" w:cs="Times New Roman"/>
                <w:szCs w:val="16"/>
                <w:lang w:eastAsia="ru-RU"/>
              </w:rPr>
            </w:pPr>
            <w:r w:rsidRPr="009808C7">
              <w:rPr>
                <w:rFonts w:ascii="Times New Roman" w:eastAsia="Times New Roman" w:hAnsi="Times New Roman" w:cs="Times New Roman"/>
                <w:szCs w:val="16"/>
                <w:lang w:eastAsia="ru-RU"/>
              </w:rPr>
              <w:t>+25,8</w:t>
            </w:r>
          </w:p>
        </w:tc>
      </w:tr>
      <w:tr w:rsidR="00BF16E8" w:rsidRPr="009808C7" w:rsidTr="00381BD9">
        <w:tc>
          <w:tcPr>
            <w:tcW w:w="2126" w:type="dxa"/>
            <w:tcBorders>
              <w:left w:val="double" w:sz="4" w:space="0" w:color="auto"/>
              <w:right w:val="double" w:sz="4" w:space="0" w:color="auto"/>
            </w:tcBorders>
          </w:tcPr>
          <w:p w:rsidR="00BF16E8" w:rsidRPr="009808C7" w:rsidRDefault="00BF16E8" w:rsidP="00381BD9">
            <w:pPr>
              <w:spacing w:after="0" w:line="240" w:lineRule="auto"/>
              <w:rPr>
                <w:rFonts w:ascii="Times New Roman" w:eastAsia="Times New Roman" w:hAnsi="Times New Roman" w:cs="Times New Roman"/>
                <w:szCs w:val="16"/>
                <w:lang w:eastAsia="ru-RU"/>
              </w:rPr>
            </w:pPr>
            <w:r w:rsidRPr="009808C7">
              <w:rPr>
                <w:rFonts w:ascii="Times New Roman" w:eastAsia="Times New Roman" w:hAnsi="Times New Roman" w:cs="Times New Roman"/>
                <w:szCs w:val="16"/>
                <w:lang w:eastAsia="ru-RU"/>
              </w:rPr>
              <w:t>- имеющие лицензию</w:t>
            </w:r>
            <w:r w:rsidRPr="009808C7">
              <w:rPr>
                <w:rFonts w:ascii="Times New Roman" w:eastAsia="Times New Roman" w:hAnsi="Times New Roman" w:cs="Times New Roman"/>
                <w:vertAlign w:val="superscript"/>
                <w:lang w:eastAsia="ru-RU"/>
              </w:rPr>
              <w:footnoteReference w:id="1"/>
            </w:r>
          </w:p>
        </w:tc>
        <w:tc>
          <w:tcPr>
            <w:tcW w:w="1559" w:type="dxa"/>
            <w:tcBorders>
              <w:left w:val="double" w:sz="4" w:space="0" w:color="auto"/>
              <w:right w:val="double" w:sz="4" w:space="0" w:color="auto"/>
            </w:tcBorders>
          </w:tcPr>
          <w:p w:rsidR="00BF16E8" w:rsidRPr="009808C7" w:rsidRDefault="00BF16E8" w:rsidP="00381BD9">
            <w:pPr>
              <w:spacing w:after="0" w:line="240" w:lineRule="auto"/>
              <w:rPr>
                <w:rFonts w:ascii="Times New Roman" w:eastAsia="Times New Roman" w:hAnsi="Times New Roman" w:cs="Times New Roman"/>
                <w:szCs w:val="16"/>
                <w:lang w:eastAsia="ru-RU"/>
              </w:rPr>
            </w:pPr>
            <w:r w:rsidRPr="009808C7">
              <w:rPr>
                <w:rFonts w:ascii="Times New Roman" w:eastAsia="Times New Roman" w:hAnsi="Times New Roman" w:cs="Times New Roman"/>
                <w:szCs w:val="16"/>
                <w:lang w:eastAsia="ru-RU"/>
              </w:rPr>
              <w:t>3</w:t>
            </w:r>
          </w:p>
        </w:tc>
        <w:tc>
          <w:tcPr>
            <w:tcW w:w="1135" w:type="dxa"/>
            <w:tcBorders>
              <w:left w:val="double" w:sz="4" w:space="0" w:color="auto"/>
            </w:tcBorders>
          </w:tcPr>
          <w:p w:rsidR="00BF16E8" w:rsidRPr="009808C7" w:rsidRDefault="00BF16E8" w:rsidP="00381BD9">
            <w:pPr>
              <w:spacing w:after="0" w:line="240" w:lineRule="auto"/>
              <w:rPr>
                <w:rFonts w:ascii="Times New Roman" w:eastAsia="Times New Roman" w:hAnsi="Times New Roman" w:cs="Times New Roman"/>
                <w:szCs w:val="16"/>
                <w:lang w:eastAsia="ru-RU"/>
              </w:rPr>
            </w:pPr>
            <w:r w:rsidRPr="009808C7">
              <w:rPr>
                <w:rFonts w:ascii="Times New Roman" w:eastAsia="Times New Roman" w:hAnsi="Times New Roman" w:cs="Times New Roman"/>
                <w:szCs w:val="16"/>
                <w:lang w:eastAsia="ru-RU"/>
              </w:rPr>
              <w:t>-</w:t>
            </w:r>
          </w:p>
        </w:tc>
        <w:tc>
          <w:tcPr>
            <w:tcW w:w="1276" w:type="dxa"/>
            <w:tcBorders>
              <w:left w:val="double" w:sz="4" w:space="0" w:color="auto"/>
            </w:tcBorders>
          </w:tcPr>
          <w:p w:rsidR="00BF16E8" w:rsidRPr="009808C7" w:rsidRDefault="00BF16E8" w:rsidP="00381BD9">
            <w:pPr>
              <w:spacing w:after="0" w:line="240" w:lineRule="auto"/>
              <w:rPr>
                <w:rFonts w:ascii="Times New Roman" w:eastAsia="Times New Roman" w:hAnsi="Times New Roman" w:cs="Times New Roman"/>
                <w:szCs w:val="16"/>
                <w:lang w:eastAsia="ru-RU"/>
              </w:rPr>
            </w:pPr>
            <w:r w:rsidRPr="009808C7">
              <w:rPr>
                <w:rFonts w:ascii="Times New Roman" w:eastAsia="Times New Roman" w:hAnsi="Times New Roman" w:cs="Times New Roman"/>
                <w:szCs w:val="16"/>
                <w:lang w:eastAsia="ru-RU"/>
              </w:rPr>
              <w:t>+ 200</w:t>
            </w:r>
          </w:p>
        </w:tc>
        <w:tc>
          <w:tcPr>
            <w:tcW w:w="1559" w:type="dxa"/>
            <w:tcBorders>
              <w:left w:val="double" w:sz="4" w:space="0" w:color="auto"/>
            </w:tcBorders>
          </w:tcPr>
          <w:p w:rsidR="00BF16E8" w:rsidRPr="009808C7" w:rsidRDefault="00BF16E8" w:rsidP="00381BD9">
            <w:pPr>
              <w:spacing w:after="0" w:line="240" w:lineRule="auto"/>
              <w:rPr>
                <w:rFonts w:ascii="Times New Roman" w:eastAsia="Times New Roman" w:hAnsi="Times New Roman" w:cs="Times New Roman"/>
                <w:szCs w:val="16"/>
                <w:lang w:eastAsia="ru-RU"/>
              </w:rPr>
            </w:pPr>
            <w:r w:rsidRPr="009808C7">
              <w:rPr>
                <w:rFonts w:ascii="Times New Roman" w:eastAsia="Times New Roman" w:hAnsi="Times New Roman" w:cs="Times New Roman"/>
                <w:szCs w:val="16"/>
                <w:lang w:eastAsia="ru-RU"/>
              </w:rPr>
              <w:t>5</w:t>
            </w:r>
          </w:p>
        </w:tc>
        <w:tc>
          <w:tcPr>
            <w:tcW w:w="992" w:type="dxa"/>
            <w:tcBorders>
              <w:right w:val="double" w:sz="4" w:space="0" w:color="auto"/>
            </w:tcBorders>
          </w:tcPr>
          <w:p w:rsidR="00BF16E8" w:rsidRPr="009808C7" w:rsidRDefault="00BF16E8" w:rsidP="00381BD9">
            <w:pPr>
              <w:spacing w:after="0" w:line="240" w:lineRule="auto"/>
              <w:rPr>
                <w:rFonts w:ascii="Times New Roman" w:eastAsia="Times New Roman" w:hAnsi="Times New Roman" w:cs="Times New Roman"/>
                <w:szCs w:val="16"/>
                <w:lang w:eastAsia="ru-RU"/>
              </w:rPr>
            </w:pPr>
            <w:r w:rsidRPr="009808C7">
              <w:rPr>
                <w:rFonts w:ascii="Times New Roman" w:eastAsia="Times New Roman" w:hAnsi="Times New Roman" w:cs="Times New Roman"/>
                <w:szCs w:val="16"/>
                <w:lang w:eastAsia="ru-RU"/>
              </w:rPr>
              <w:t>2,3</w:t>
            </w:r>
          </w:p>
        </w:tc>
        <w:tc>
          <w:tcPr>
            <w:tcW w:w="1276" w:type="dxa"/>
            <w:tcBorders>
              <w:right w:val="double" w:sz="4" w:space="0" w:color="auto"/>
            </w:tcBorders>
          </w:tcPr>
          <w:p w:rsidR="00BF16E8" w:rsidRPr="009808C7" w:rsidRDefault="00BF16E8" w:rsidP="00381BD9">
            <w:pPr>
              <w:spacing w:after="0" w:line="240" w:lineRule="auto"/>
              <w:rPr>
                <w:rFonts w:ascii="Times New Roman" w:eastAsia="Times New Roman" w:hAnsi="Times New Roman" w:cs="Times New Roman"/>
                <w:szCs w:val="16"/>
                <w:lang w:eastAsia="ru-RU"/>
              </w:rPr>
            </w:pPr>
            <w:r w:rsidRPr="009808C7">
              <w:rPr>
                <w:rFonts w:ascii="Times New Roman" w:eastAsia="Times New Roman" w:hAnsi="Times New Roman" w:cs="Times New Roman"/>
                <w:szCs w:val="16"/>
                <w:lang w:eastAsia="ru-RU"/>
              </w:rPr>
              <w:t>+66,6</w:t>
            </w:r>
          </w:p>
        </w:tc>
      </w:tr>
      <w:tr w:rsidR="00BF16E8" w:rsidRPr="009808C7" w:rsidTr="00381BD9">
        <w:tc>
          <w:tcPr>
            <w:tcW w:w="2126" w:type="dxa"/>
            <w:tcBorders>
              <w:left w:val="double" w:sz="4" w:space="0" w:color="auto"/>
              <w:right w:val="double" w:sz="4" w:space="0" w:color="auto"/>
            </w:tcBorders>
          </w:tcPr>
          <w:p w:rsidR="00BF16E8" w:rsidRPr="009808C7" w:rsidRDefault="00BF16E8" w:rsidP="00381BD9">
            <w:pPr>
              <w:spacing w:after="0" w:line="240" w:lineRule="auto"/>
              <w:rPr>
                <w:rFonts w:ascii="Times New Roman" w:eastAsia="Times New Roman" w:hAnsi="Times New Roman" w:cs="Times New Roman"/>
                <w:szCs w:val="16"/>
                <w:lang w:eastAsia="ru-RU"/>
              </w:rPr>
            </w:pPr>
            <w:r w:rsidRPr="009808C7">
              <w:rPr>
                <w:rFonts w:ascii="Times New Roman" w:eastAsia="Times New Roman" w:hAnsi="Times New Roman" w:cs="Times New Roman"/>
                <w:szCs w:val="16"/>
                <w:lang w:eastAsia="ru-RU"/>
              </w:rPr>
              <w:t xml:space="preserve">2) организации, в </w:t>
            </w:r>
            <w:proofErr w:type="spellStart"/>
            <w:r w:rsidRPr="009808C7">
              <w:rPr>
                <w:rFonts w:ascii="Times New Roman" w:eastAsia="Times New Roman" w:hAnsi="Times New Roman" w:cs="Times New Roman"/>
                <w:szCs w:val="16"/>
                <w:lang w:eastAsia="ru-RU"/>
              </w:rPr>
              <w:t>т.ч</w:t>
            </w:r>
            <w:proofErr w:type="spellEnd"/>
            <w:r w:rsidRPr="009808C7">
              <w:rPr>
                <w:rFonts w:ascii="Times New Roman" w:eastAsia="Times New Roman" w:hAnsi="Times New Roman" w:cs="Times New Roman"/>
                <w:szCs w:val="16"/>
                <w:lang w:eastAsia="ru-RU"/>
              </w:rPr>
              <w:t>.</w:t>
            </w:r>
          </w:p>
        </w:tc>
        <w:tc>
          <w:tcPr>
            <w:tcW w:w="1559" w:type="dxa"/>
            <w:tcBorders>
              <w:left w:val="double" w:sz="4" w:space="0" w:color="auto"/>
              <w:right w:val="double" w:sz="4" w:space="0" w:color="auto"/>
            </w:tcBorders>
          </w:tcPr>
          <w:p w:rsidR="00BF16E8" w:rsidRPr="009808C7" w:rsidRDefault="00BF16E8" w:rsidP="00381BD9">
            <w:pPr>
              <w:spacing w:after="0" w:line="240" w:lineRule="auto"/>
              <w:rPr>
                <w:rFonts w:ascii="Times New Roman" w:eastAsia="Times New Roman" w:hAnsi="Times New Roman" w:cs="Times New Roman"/>
                <w:szCs w:val="16"/>
                <w:lang w:eastAsia="ru-RU"/>
              </w:rPr>
            </w:pPr>
            <w:r w:rsidRPr="009808C7">
              <w:rPr>
                <w:rFonts w:ascii="Times New Roman" w:eastAsia="Times New Roman" w:hAnsi="Times New Roman" w:cs="Times New Roman"/>
                <w:szCs w:val="16"/>
                <w:lang w:eastAsia="ru-RU"/>
              </w:rPr>
              <w:t>45</w:t>
            </w:r>
          </w:p>
        </w:tc>
        <w:tc>
          <w:tcPr>
            <w:tcW w:w="1135" w:type="dxa"/>
            <w:tcBorders>
              <w:left w:val="double" w:sz="4" w:space="0" w:color="auto"/>
            </w:tcBorders>
          </w:tcPr>
          <w:p w:rsidR="00BF16E8" w:rsidRPr="009808C7" w:rsidRDefault="00BF16E8" w:rsidP="00381BD9">
            <w:pPr>
              <w:spacing w:after="0" w:line="240" w:lineRule="auto"/>
              <w:rPr>
                <w:rFonts w:ascii="Times New Roman" w:eastAsia="Times New Roman" w:hAnsi="Times New Roman" w:cs="Times New Roman"/>
                <w:szCs w:val="16"/>
                <w:lang w:eastAsia="ru-RU"/>
              </w:rPr>
            </w:pPr>
            <w:r w:rsidRPr="009808C7">
              <w:rPr>
                <w:rFonts w:ascii="Times New Roman" w:eastAsia="Times New Roman" w:hAnsi="Times New Roman" w:cs="Times New Roman"/>
                <w:szCs w:val="16"/>
                <w:lang w:eastAsia="ru-RU"/>
              </w:rPr>
              <w:t>16,54</w:t>
            </w:r>
          </w:p>
        </w:tc>
        <w:tc>
          <w:tcPr>
            <w:tcW w:w="1276" w:type="dxa"/>
            <w:tcBorders>
              <w:left w:val="double" w:sz="4" w:space="0" w:color="auto"/>
            </w:tcBorders>
          </w:tcPr>
          <w:p w:rsidR="00BF16E8" w:rsidRPr="009808C7" w:rsidRDefault="00BF16E8" w:rsidP="00381BD9">
            <w:pPr>
              <w:spacing w:after="0" w:line="240" w:lineRule="auto"/>
              <w:rPr>
                <w:rFonts w:ascii="Times New Roman" w:eastAsia="Times New Roman" w:hAnsi="Times New Roman" w:cs="Times New Roman"/>
                <w:szCs w:val="16"/>
                <w:lang w:eastAsia="ru-RU"/>
              </w:rPr>
            </w:pPr>
            <w:r w:rsidRPr="009808C7">
              <w:rPr>
                <w:rFonts w:ascii="Times New Roman" w:eastAsia="Times New Roman" w:hAnsi="Times New Roman" w:cs="Times New Roman"/>
                <w:szCs w:val="16"/>
                <w:lang w:eastAsia="ru-RU"/>
              </w:rPr>
              <w:t>+ 4,7</w:t>
            </w:r>
          </w:p>
        </w:tc>
        <w:tc>
          <w:tcPr>
            <w:tcW w:w="1559" w:type="dxa"/>
            <w:tcBorders>
              <w:left w:val="double" w:sz="4" w:space="0" w:color="auto"/>
            </w:tcBorders>
          </w:tcPr>
          <w:p w:rsidR="00BF16E8" w:rsidRPr="009808C7" w:rsidRDefault="00BF16E8" w:rsidP="00381BD9">
            <w:pPr>
              <w:spacing w:after="0" w:line="240" w:lineRule="auto"/>
              <w:rPr>
                <w:rFonts w:ascii="Times New Roman" w:eastAsia="Times New Roman" w:hAnsi="Times New Roman" w:cs="Times New Roman"/>
                <w:szCs w:val="16"/>
                <w:lang w:eastAsia="ru-RU"/>
              </w:rPr>
            </w:pPr>
            <w:r w:rsidRPr="009808C7">
              <w:rPr>
                <w:rFonts w:ascii="Times New Roman" w:eastAsia="Times New Roman" w:hAnsi="Times New Roman" w:cs="Times New Roman"/>
                <w:szCs w:val="16"/>
                <w:lang w:eastAsia="ru-RU"/>
              </w:rPr>
              <w:t>51</w:t>
            </w:r>
          </w:p>
        </w:tc>
        <w:tc>
          <w:tcPr>
            <w:tcW w:w="992" w:type="dxa"/>
            <w:tcBorders>
              <w:right w:val="double" w:sz="4" w:space="0" w:color="auto"/>
            </w:tcBorders>
          </w:tcPr>
          <w:p w:rsidR="00BF16E8" w:rsidRPr="009808C7" w:rsidRDefault="00BF16E8" w:rsidP="00381BD9">
            <w:pPr>
              <w:spacing w:after="0" w:line="240" w:lineRule="auto"/>
              <w:rPr>
                <w:rFonts w:ascii="Times New Roman" w:eastAsia="Times New Roman" w:hAnsi="Times New Roman" w:cs="Times New Roman"/>
                <w:szCs w:val="16"/>
                <w:lang w:eastAsia="ru-RU"/>
              </w:rPr>
            </w:pPr>
            <w:r w:rsidRPr="009808C7">
              <w:rPr>
                <w:rFonts w:ascii="Times New Roman" w:eastAsia="Times New Roman" w:hAnsi="Times New Roman" w:cs="Times New Roman"/>
                <w:szCs w:val="16"/>
                <w:lang w:eastAsia="ru-RU"/>
              </w:rPr>
              <w:t>16,4</w:t>
            </w:r>
          </w:p>
        </w:tc>
        <w:tc>
          <w:tcPr>
            <w:tcW w:w="1276" w:type="dxa"/>
            <w:tcBorders>
              <w:right w:val="double" w:sz="4" w:space="0" w:color="auto"/>
            </w:tcBorders>
          </w:tcPr>
          <w:p w:rsidR="00BF16E8" w:rsidRPr="009808C7" w:rsidRDefault="00BF16E8" w:rsidP="00381BD9">
            <w:pPr>
              <w:spacing w:after="0" w:line="240" w:lineRule="auto"/>
              <w:rPr>
                <w:rFonts w:ascii="Times New Roman" w:eastAsia="Times New Roman" w:hAnsi="Times New Roman" w:cs="Times New Roman"/>
                <w:szCs w:val="16"/>
                <w:lang w:eastAsia="ru-RU"/>
              </w:rPr>
            </w:pPr>
            <w:r w:rsidRPr="009808C7">
              <w:rPr>
                <w:rFonts w:ascii="Times New Roman" w:eastAsia="Times New Roman" w:hAnsi="Times New Roman" w:cs="Times New Roman"/>
                <w:szCs w:val="16"/>
                <w:lang w:eastAsia="ru-RU"/>
              </w:rPr>
              <w:t>+13,3</w:t>
            </w:r>
          </w:p>
        </w:tc>
      </w:tr>
      <w:tr w:rsidR="00BF16E8" w:rsidRPr="009808C7" w:rsidTr="00381BD9">
        <w:tc>
          <w:tcPr>
            <w:tcW w:w="2126" w:type="dxa"/>
            <w:tcBorders>
              <w:left w:val="double" w:sz="4" w:space="0" w:color="auto"/>
              <w:right w:val="double" w:sz="4" w:space="0" w:color="auto"/>
            </w:tcBorders>
          </w:tcPr>
          <w:p w:rsidR="00BF16E8" w:rsidRPr="009808C7" w:rsidRDefault="00BF16E8" w:rsidP="00381BD9">
            <w:pPr>
              <w:spacing w:after="0" w:line="240" w:lineRule="auto"/>
              <w:rPr>
                <w:rFonts w:ascii="Times New Roman" w:eastAsia="Times New Roman" w:hAnsi="Times New Roman" w:cs="Times New Roman"/>
                <w:szCs w:val="16"/>
                <w:lang w:eastAsia="ru-RU"/>
              </w:rPr>
            </w:pPr>
            <w:r w:rsidRPr="009808C7">
              <w:rPr>
                <w:rFonts w:ascii="Times New Roman" w:eastAsia="Times New Roman" w:hAnsi="Times New Roman" w:cs="Times New Roman"/>
                <w:szCs w:val="16"/>
                <w:lang w:eastAsia="ru-RU"/>
              </w:rPr>
              <w:t>- имеющие лицензию</w:t>
            </w:r>
          </w:p>
        </w:tc>
        <w:tc>
          <w:tcPr>
            <w:tcW w:w="1559" w:type="dxa"/>
            <w:tcBorders>
              <w:left w:val="double" w:sz="4" w:space="0" w:color="auto"/>
              <w:right w:val="double" w:sz="4" w:space="0" w:color="auto"/>
            </w:tcBorders>
          </w:tcPr>
          <w:p w:rsidR="00BF16E8" w:rsidRPr="009808C7" w:rsidRDefault="00BF16E8" w:rsidP="00381BD9">
            <w:pPr>
              <w:spacing w:after="0" w:line="240" w:lineRule="auto"/>
              <w:rPr>
                <w:rFonts w:ascii="Times New Roman" w:eastAsia="Times New Roman" w:hAnsi="Times New Roman" w:cs="Times New Roman"/>
                <w:szCs w:val="16"/>
                <w:lang w:eastAsia="ru-RU"/>
              </w:rPr>
            </w:pPr>
            <w:r w:rsidRPr="009808C7">
              <w:rPr>
                <w:rFonts w:ascii="Times New Roman" w:eastAsia="Times New Roman" w:hAnsi="Times New Roman" w:cs="Times New Roman"/>
                <w:szCs w:val="16"/>
                <w:lang w:eastAsia="ru-RU"/>
              </w:rPr>
              <w:t>2</w:t>
            </w:r>
          </w:p>
        </w:tc>
        <w:tc>
          <w:tcPr>
            <w:tcW w:w="1135" w:type="dxa"/>
            <w:tcBorders>
              <w:left w:val="double" w:sz="4" w:space="0" w:color="auto"/>
            </w:tcBorders>
          </w:tcPr>
          <w:p w:rsidR="00BF16E8" w:rsidRPr="009808C7" w:rsidRDefault="00BF16E8" w:rsidP="00381BD9">
            <w:pPr>
              <w:spacing w:after="0" w:line="240" w:lineRule="auto"/>
              <w:rPr>
                <w:rFonts w:ascii="Times New Roman" w:eastAsia="Times New Roman" w:hAnsi="Times New Roman" w:cs="Times New Roman"/>
                <w:szCs w:val="16"/>
                <w:lang w:eastAsia="ru-RU"/>
              </w:rPr>
            </w:pPr>
            <w:r w:rsidRPr="009808C7">
              <w:rPr>
                <w:rFonts w:ascii="Times New Roman" w:eastAsia="Times New Roman" w:hAnsi="Times New Roman" w:cs="Times New Roman"/>
                <w:szCs w:val="16"/>
                <w:lang w:eastAsia="ru-RU"/>
              </w:rPr>
              <w:t>0,74</w:t>
            </w:r>
          </w:p>
        </w:tc>
        <w:tc>
          <w:tcPr>
            <w:tcW w:w="1276" w:type="dxa"/>
            <w:tcBorders>
              <w:left w:val="double" w:sz="4" w:space="0" w:color="auto"/>
            </w:tcBorders>
          </w:tcPr>
          <w:p w:rsidR="00BF16E8" w:rsidRPr="009808C7" w:rsidRDefault="00BF16E8" w:rsidP="00381BD9">
            <w:pPr>
              <w:spacing w:after="0" w:line="240" w:lineRule="auto"/>
              <w:rPr>
                <w:rFonts w:ascii="Times New Roman" w:eastAsia="Times New Roman" w:hAnsi="Times New Roman" w:cs="Times New Roman"/>
                <w:szCs w:val="16"/>
                <w:lang w:eastAsia="ru-RU"/>
              </w:rPr>
            </w:pPr>
            <w:r w:rsidRPr="009808C7">
              <w:rPr>
                <w:rFonts w:ascii="Times New Roman" w:eastAsia="Times New Roman" w:hAnsi="Times New Roman" w:cs="Times New Roman"/>
                <w:szCs w:val="16"/>
                <w:lang w:eastAsia="ru-RU"/>
              </w:rPr>
              <w:t>Без динамики</w:t>
            </w:r>
          </w:p>
        </w:tc>
        <w:tc>
          <w:tcPr>
            <w:tcW w:w="1559" w:type="dxa"/>
            <w:tcBorders>
              <w:left w:val="double" w:sz="4" w:space="0" w:color="auto"/>
            </w:tcBorders>
          </w:tcPr>
          <w:p w:rsidR="00BF16E8" w:rsidRPr="009808C7" w:rsidRDefault="00BF16E8" w:rsidP="00381BD9">
            <w:pPr>
              <w:spacing w:after="0" w:line="240" w:lineRule="auto"/>
              <w:rPr>
                <w:rFonts w:ascii="Times New Roman" w:eastAsia="Times New Roman" w:hAnsi="Times New Roman" w:cs="Times New Roman"/>
                <w:szCs w:val="16"/>
                <w:lang w:eastAsia="ru-RU"/>
              </w:rPr>
            </w:pPr>
            <w:r w:rsidRPr="009808C7">
              <w:rPr>
                <w:rFonts w:ascii="Times New Roman" w:eastAsia="Times New Roman" w:hAnsi="Times New Roman" w:cs="Times New Roman"/>
                <w:szCs w:val="16"/>
                <w:lang w:eastAsia="ru-RU"/>
              </w:rPr>
              <w:t>-</w:t>
            </w:r>
          </w:p>
        </w:tc>
        <w:tc>
          <w:tcPr>
            <w:tcW w:w="992" w:type="dxa"/>
            <w:tcBorders>
              <w:right w:val="double" w:sz="4" w:space="0" w:color="auto"/>
            </w:tcBorders>
          </w:tcPr>
          <w:p w:rsidR="00BF16E8" w:rsidRPr="009808C7" w:rsidRDefault="00BF16E8" w:rsidP="00381BD9">
            <w:pPr>
              <w:spacing w:after="0" w:line="240" w:lineRule="auto"/>
              <w:rPr>
                <w:rFonts w:ascii="Times New Roman" w:eastAsia="Times New Roman" w:hAnsi="Times New Roman" w:cs="Times New Roman"/>
                <w:szCs w:val="16"/>
                <w:lang w:eastAsia="ru-RU"/>
              </w:rPr>
            </w:pPr>
            <w:r w:rsidRPr="009808C7">
              <w:rPr>
                <w:rFonts w:ascii="Times New Roman" w:eastAsia="Times New Roman" w:hAnsi="Times New Roman" w:cs="Times New Roman"/>
                <w:szCs w:val="16"/>
                <w:lang w:eastAsia="ru-RU"/>
              </w:rPr>
              <w:t>-</w:t>
            </w:r>
          </w:p>
        </w:tc>
        <w:tc>
          <w:tcPr>
            <w:tcW w:w="1276" w:type="dxa"/>
            <w:tcBorders>
              <w:right w:val="double" w:sz="4" w:space="0" w:color="auto"/>
            </w:tcBorders>
          </w:tcPr>
          <w:p w:rsidR="00BF16E8" w:rsidRPr="009808C7" w:rsidRDefault="00BF16E8" w:rsidP="00381BD9">
            <w:pPr>
              <w:spacing w:after="0" w:line="240" w:lineRule="auto"/>
              <w:rPr>
                <w:rFonts w:ascii="Times New Roman" w:eastAsia="Times New Roman" w:hAnsi="Times New Roman" w:cs="Times New Roman"/>
                <w:szCs w:val="16"/>
                <w:lang w:eastAsia="ru-RU"/>
              </w:rPr>
            </w:pPr>
            <w:r w:rsidRPr="009808C7">
              <w:rPr>
                <w:rFonts w:ascii="Times New Roman" w:eastAsia="Times New Roman" w:hAnsi="Times New Roman" w:cs="Times New Roman"/>
                <w:szCs w:val="16"/>
                <w:lang w:eastAsia="ru-RU"/>
              </w:rPr>
              <w:t>Без динамики</w:t>
            </w:r>
          </w:p>
        </w:tc>
      </w:tr>
    </w:tbl>
    <w:p w:rsidR="00BF16E8" w:rsidRPr="009808C7" w:rsidRDefault="00BF16E8" w:rsidP="00BF16E8">
      <w:pPr>
        <w:spacing w:after="0" w:line="240" w:lineRule="auto"/>
        <w:rPr>
          <w:rFonts w:ascii="Times New Roman" w:eastAsia="Times New Roman" w:hAnsi="Times New Roman" w:cs="Times New Roman"/>
          <w:sz w:val="16"/>
          <w:szCs w:val="16"/>
          <w:lang w:eastAsia="ru-RU"/>
        </w:rPr>
      </w:pPr>
    </w:p>
    <w:p w:rsidR="00BF16E8" w:rsidRPr="009808C7" w:rsidRDefault="00BF16E8" w:rsidP="00BF16E8">
      <w:pPr>
        <w:widowControl w:val="0"/>
        <w:spacing w:after="0" w:line="240" w:lineRule="auto"/>
        <w:ind w:firstLine="709"/>
        <w:jc w:val="both"/>
        <w:rPr>
          <w:rFonts w:ascii="Times New Roman" w:eastAsia="Times New Roman" w:hAnsi="Times New Roman" w:cs="Times New Roman"/>
          <w:sz w:val="28"/>
          <w:szCs w:val="28"/>
          <w:lang w:eastAsia="ru-RU"/>
        </w:rPr>
      </w:pPr>
      <w:r w:rsidRPr="009808C7">
        <w:rPr>
          <w:rFonts w:ascii="Times New Roman" w:eastAsia="Times New Roman" w:hAnsi="Times New Roman" w:cs="Times New Roman"/>
          <w:sz w:val="28"/>
          <w:szCs w:val="28"/>
          <w:lang w:eastAsia="ru-RU"/>
        </w:rPr>
        <w:t>По сравнению с 2017 годом количество СМСП выросло на 22,54%. Прирост организаций: юридические лица + 13,3%, индивидуальные предприниматели + 25,8%.</w:t>
      </w:r>
    </w:p>
    <w:p w:rsidR="00BF16E8" w:rsidRDefault="00BF16E8" w:rsidP="00BF16E8">
      <w:pPr>
        <w:widowControl w:val="0"/>
        <w:spacing w:after="0" w:line="240" w:lineRule="auto"/>
        <w:ind w:firstLine="709"/>
        <w:jc w:val="both"/>
        <w:rPr>
          <w:rFonts w:ascii="Times New Roman" w:eastAsia="Times New Roman" w:hAnsi="Times New Roman" w:cs="Times New Roman"/>
          <w:sz w:val="28"/>
          <w:szCs w:val="28"/>
          <w:lang w:eastAsia="ru-RU"/>
        </w:rPr>
      </w:pPr>
      <w:r w:rsidRPr="009808C7">
        <w:rPr>
          <w:rFonts w:ascii="Times New Roman" w:eastAsia="Times New Roman" w:hAnsi="Times New Roman" w:cs="Times New Roman"/>
          <w:sz w:val="28"/>
          <w:szCs w:val="28"/>
          <w:lang w:eastAsia="ru-RU"/>
        </w:rPr>
        <w:t xml:space="preserve">Рост обеспечен преимущественно выходом на рынок новых индивидуальных предпринимателей в зрелищно-развлекательной сфере и сфере фотографии. </w:t>
      </w:r>
      <w:r>
        <w:rPr>
          <w:rFonts w:ascii="Times New Roman" w:eastAsia="Times New Roman" w:hAnsi="Times New Roman" w:cs="Times New Roman"/>
          <w:sz w:val="28"/>
          <w:szCs w:val="28"/>
          <w:lang w:eastAsia="ru-RU"/>
        </w:rPr>
        <w:t xml:space="preserve">Развитие именно этих направлений можно объяснить относительной простотой организации предприятий, небольшими финансовыми инвестициями, а также гибкостью производственного процесса и отсутствием необходимости иметь постоянное собственное помещение, при условии высоких цен на аренду в крае. Кроме того, формат «проектной работы», а не систематическое управление предприятием, позволяет в некоторой степени обезопасить предпринимателей от рисков, связанных с ярко выраженной сезонностью в крае, низким покупательским спросом, при условии, как правило, высоких цен на производство услуги, отсутствием квалифицированных кадров в области менеджмента, маркетинга, </w:t>
      </w:r>
      <w:r>
        <w:rPr>
          <w:rFonts w:ascii="Times New Roman" w:eastAsia="Times New Roman" w:hAnsi="Times New Roman" w:cs="Times New Roman"/>
          <w:sz w:val="28"/>
          <w:szCs w:val="28"/>
          <w:lang w:val="en-US" w:eastAsia="ru-RU"/>
        </w:rPr>
        <w:t>PR</w:t>
      </w:r>
      <w:r>
        <w:rPr>
          <w:rFonts w:ascii="Times New Roman" w:eastAsia="Times New Roman" w:hAnsi="Times New Roman" w:cs="Times New Roman"/>
          <w:sz w:val="28"/>
          <w:szCs w:val="28"/>
          <w:lang w:eastAsia="ru-RU"/>
        </w:rPr>
        <w:t xml:space="preserve"> и рекламы, (дефицит кадров является одной из серьезных проблем в крае во всех отраслях деятельности). Данные обстоятельства не позволяют предпринимателям развивать такие направления деятельности, как стационарные музейно-выставочные предприятия, зоопарки, создание центров эстетического и творческого развития, издательское дело и др. </w:t>
      </w:r>
    </w:p>
    <w:p w:rsidR="00BF16E8" w:rsidRPr="009808C7" w:rsidRDefault="00BF16E8" w:rsidP="00BF16E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Отмечен рост появления на рынке всё большего количества услуг в сфере видео производства. Тенденция сохраняется последние 3 года, что связанно с появлением оптоволоконного интернета, развитием социальных сетей, общими тенденциями </w:t>
      </w:r>
      <w:proofErr w:type="spellStart"/>
      <w:r>
        <w:rPr>
          <w:rFonts w:ascii="Times New Roman" w:eastAsia="Times New Roman" w:hAnsi="Times New Roman" w:cs="Times New Roman"/>
          <w:sz w:val="28"/>
          <w:szCs w:val="28"/>
          <w:lang w:eastAsia="ru-RU"/>
        </w:rPr>
        <w:t>медийного</w:t>
      </w:r>
      <w:proofErr w:type="spellEnd"/>
      <w:r>
        <w:rPr>
          <w:rFonts w:ascii="Times New Roman" w:eastAsia="Times New Roman" w:hAnsi="Times New Roman" w:cs="Times New Roman"/>
          <w:sz w:val="28"/>
          <w:szCs w:val="28"/>
          <w:lang w:eastAsia="ru-RU"/>
        </w:rPr>
        <w:t xml:space="preserve"> пространства. Также немаловажную </w:t>
      </w:r>
      <w:r>
        <w:rPr>
          <w:rFonts w:ascii="Times New Roman" w:eastAsia="Times New Roman" w:hAnsi="Times New Roman" w:cs="Times New Roman"/>
          <w:sz w:val="28"/>
          <w:szCs w:val="28"/>
          <w:lang w:eastAsia="ru-RU"/>
        </w:rPr>
        <w:lastRenderedPageBreak/>
        <w:t xml:space="preserve">роль в развитии видео производства играет развитие туристической отрасли в крае. Увеличение туристического потока, высокий интерес к уникальным природным объектам позволяет видео операторам, режиссерам монтажа и другим специалистам находить стабильный спрос на свои услуги. </w:t>
      </w:r>
    </w:p>
    <w:p w:rsidR="00BF16E8" w:rsidRPr="009808C7" w:rsidRDefault="00BF16E8" w:rsidP="00BF16E8">
      <w:pPr>
        <w:widowControl w:val="0"/>
        <w:spacing w:after="0" w:line="240" w:lineRule="auto"/>
        <w:ind w:firstLine="709"/>
        <w:jc w:val="both"/>
        <w:rPr>
          <w:rFonts w:ascii="Times New Roman" w:eastAsia="Times New Roman" w:hAnsi="Times New Roman" w:cs="Times New Roman"/>
          <w:sz w:val="28"/>
          <w:szCs w:val="28"/>
          <w:lang w:eastAsia="ru-RU"/>
        </w:rPr>
      </w:pPr>
      <w:r w:rsidRPr="009808C7">
        <w:rPr>
          <w:rFonts w:ascii="Times New Roman" w:eastAsia="Times New Roman" w:hAnsi="Times New Roman" w:cs="Times New Roman"/>
          <w:sz w:val="28"/>
          <w:szCs w:val="28"/>
          <w:lang w:eastAsia="ru-RU"/>
        </w:rPr>
        <w:t xml:space="preserve">Структура негосударственного коммерческого сектора рынка услуг в сфере культуры в Камчатском крае в 2018 </w:t>
      </w:r>
      <w:r>
        <w:rPr>
          <w:rFonts w:ascii="Times New Roman" w:eastAsia="Times New Roman" w:hAnsi="Times New Roman" w:cs="Times New Roman"/>
          <w:sz w:val="28"/>
          <w:szCs w:val="28"/>
          <w:lang w:eastAsia="ru-RU"/>
        </w:rPr>
        <w:t>году представлена на Рисунке 2.27</w:t>
      </w:r>
      <w:r w:rsidRPr="009808C7">
        <w:rPr>
          <w:rFonts w:ascii="Times New Roman" w:eastAsia="Times New Roman" w:hAnsi="Times New Roman" w:cs="Times New Roman"/>
          <w:sz w:val="28"/>
          <w:szCs w:val="28"/>
          <w:lang w:eastAsia="ru-RU"/>
        </w:rPr>
        <w:t>.</w:t>
      </w:r>
    </w:p>
    <w:p w:rsidR="00BF16E8" w:rsidRPr="009808C7" w:rsidRDefault="00BF16E8" w:rsidP="00BF16E8">
      <w:pPr>
        <w:spacing w:after="120" w:line="240" w:lineRule="auto"/>
        <w:ind w:firstLine="709"/>
        <w:jc w:val="both"/>
        <w:rPr>
          <w:rFonts w:ascii="Times New Roman" w:eastAsia="Times New Roman" w:hAnsi="Times New Roman" w:cs="Times New Roman"/>
          <w:sz w:val="28"/>
          <w:szCs w:val="28"/>
          <w:lang w:eastAsia="ru-RU"/>
        </w:rPr>
      </w:pPr>
    </w:p>
    <w:p w:rsidR="00BF16E8" w:rsidRPr="009808C7" w:rsidRDefault="00BF16E8" w:rsidP="00BF16E8">
      <w:pPr>
        <w:spacing w:after="120" w:line="240" w:lineRule="auto"/>
        <w:ind w:firstLine="709"/>
        <w:jc w:val="both"/>
        <w:rPr>
          <w:rFonts w:ascii="Times New Roman" w:eastAsia="Times New Roman" w:hAnsi="Times New Roman" w:cs="Times New Roman"/>
          <w:sz w:val="28"/>
          <w:szCs w:val="28"/>
          <w:lang w:eastAsia="ru-RU"/>
        </w:rPr>
      </w:pPr>
    </w:p>
    <w:p w:rsidR="00BF16E8" w:rsidRPr="009808C7" w:rsidRDefault="00BF16E8" w:rsidP="00BF16E8">
      <w:pPr>
        <w:spacing w:after="120" w:line="240" w:lineRule="auto"/>
        <w:ind w:left="-851" w:firstLine="709"/>
        <w:jc w:val="both"/>
        <w:rPr>
          <w:rFonts w:ascii="Times New Roman" w:eastAsia="Times New Roman" w:hAnsi="Times New Roman" w:cs="Times New Roman"/>
          <w:sz w:val="28"/>
          <w:szCs w:val="28"/>
          <w:lang w:eastAsia="ru-RU"/>
        </w:rPr>
      </w:pPr>
      <w:r w:rsidRPr="009808C7">
        <w:rPr>
          <w:rFonts w:ascii="Times New Roman" w:eastAsia="Times New Roman" w:hAnsi="Times New Roman" w:cs="Times New Roman"/>
          <w:noProof/>
          <w:sz w:val="28"/>
          <w:szCs w:val="28"/>
          <w:lang w:eastAsia="ru-RU"/>
        </w:rPr>
        <w:drawing>
          <wp:inline distT="0" distB="0" distL="0" distR="0" wp14:anchorId="77A6AC97" wp14:editId="5038266C">
            <wp:extent cx="5181600" cy="2569634"/>
            <wp:effectExtent l="0" t="0" r="0" b="2540"/>
            <wp:docPr id="106" name="Диаграмма 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F16E8" w:rsidRPr="009808C7" w:rsidRDefault="00BF16E8" w:rsidP="00BF16E8">
      <w:pPr>
        <w:widowControl w:val="0"/>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Рисунок 2.2.6</w:t>
      </w:r>
      <w:r w:rsidRPr="009808C7">
        <w:rPr>
          <w:rFonts w:ascii="Times New Roman" w:eastAsia="Times New Roman" w:hAnsi="Times New Roman" w:cs="Times New Roman"/>
          <w:sz w:val="24"/>
          <w:szCs w:val="24"/>
          <w:lang w:eastAsia="ru-RU"/>
        </w:rPr>
        <w:t>. Структура рынка услуг в сфере культуры</w:t>
      </w:r>
    </w:p>
    <w:p w:rsidR="00BF16E8" w:rsidRPr="00B542CE" w:rsidRDefault="00BF16E8" w:rsidP="00BF16E8">
      <w:pPr>
        <w:widowControl w:val="0"/>
        <w:spacing w:after="0" w:line="240" w:lineRule="auto"/>
        <w:ind w:firstLine="709"/>
        <w:jc w:val="both"/>
        <w:rPr>
          <w:rFonts w:ascii="Times New Roman" w:eastAsia="Times New Roman" w:hAnsi="Times New Roman" w:cs="Times New Roman"/>
          <w:lang w:eastAsia="ru-RU"/>
        </w:rPr>
      </w:pPr>
    </w:p>
    <w:p w:rsidR="00BF16E8" w:rsidRDefault="00BF16E8" w:rsidP="00BF16E8">
      <w:pPr>
        <w:spacing w:before="120" w:after="120" w:line="240" w:lineRule="auto"/>
        <w:ind w:firstLine="709"/>
        <w:jc w:val="both"/>
        <w:rPr>
          <w:rFonts w:ascii="Times New Roman" w:eastAsia="Times New Roman" w:hAnsi="Times New Roman" w:cs="Times New Roman"/>
          <w:b/>
          <w:sz w:val="28"/>
          <w:szCs w:val="28"/>
          <w:lang w:eastAsia="ru-RU"/>
        </w:rPr>
      </w:pPr>
      <w:r w:rsidRPr="007A3827">
        <w:rPr>
          <w:rFonts w:ascii="Times New Roman" w:eastAsia="Times New Roman" w:hAnsi="Times New Roman" w:cs="Times New Roman"/>
          <w:b/>
          <w:sz w:val="28"/>
          <w:szCs w:val="28"/>
          <w:lang w:eastAsia="ru-RU"/>
        </w:rPr>
        <w:t>Удовлетворенность потребности населения в услугах рынка</w:t>
      </w:r>
    </w:p>
    <w:p w:rsidR="00BF16E8" w:rsidRPr="009808C7" w:rsidRDefault="00BF16E8" w:rsidP="00BF16E8">
      <w:pPr>
        <w:spacing w:after="0" w:line="240" w:lineRule="auto"/>
        <w:ind w:firstLine="709"/>
        <w:jc w:val="both"/>
        <w:rPr>
          <w:rFonts w:ascii="Times New Roman" w:eastAsia="Times New Roman" w:hAnsi="Times New Roman" w:cs="Times New Roman"/>
          <w:sz w:val="28"/>
          <w:szCs w:val="28"/>
          <w:lang w:eastAsia="ru-RU"/>
        </w:rPr>
      </w:pPr>
      <w:r w:rsidRPr="009808C7">
        <w:rPr>
          <w:rFonts w:ascii="Times New Roman" w:eastAsia="Times New Roman" w:hAnsi="Times New Roman" w:cs="Times New Roman"/>
          <w:sz w:val="28"/>
          <w:szCs w:val="28"/>
          <w:lang w:eastAsia="ru-RU"/>
        </w:rPr>
        <w:t xml:space="preserve">Сеть бюджетных организаций культуры (государственных и муниципальных) охватывает все муниципальные районы Камчатского края. Краевые государственные учреждения культуры предоставляют услуги населению Петропавловск-Камчатского городского округа и в столице </w:t>
      </w:r>
      <w:proofErr w:type="spellStart"/>
      <w:r w:rsidRPr="009808C7">
        <w:rPr>
          <w:rFonts w:ascii="Times New Roman" w:eastAsia="Times New Roman" w:hAnsi="Times New Roman" w:cs="Times New Roman"/>
          <w:sz w:val="28"/>
          <w:szCs w:val="28"/>
          <w:lang w:eastAsia="ru-RU"/>
        </w:rPr>
        <w:t>Корякии</w:t>
      </w:r>
      <w:proofErr w:type="spellEnd"/>
      <w:r w:rsidRPr="009808C7">
        <w:rPr>
          <w:rFonts w:ascii="Times New Roman" w:eastAsia="Times New Roman" w:hAnsi="Times New Roman" w:cs="Times New Roman"/>
          <w:sz w:val="28"/>
          <w:szCs w:val="28"/>
          <w:lang w:eastAsia="ru-RU"/>
        </w:rPr>
        <w:t xml:space="preserve"> – жителям посёлка Палана. Суммарной охват населения услугами краевых государственных учреждений культуры (не считая выездную гастрольную деятельность) составляет почти 182,7 тыс. человек.</w:t>
      </w:r>
    </w:p>
    <w:p w:rsidR="00BF16E8" w:rsidRPr="009808C7" w:rsidRDefault="00BF16E8" w:rsidP="00BF16E8">
      <w:pPr>
        <w:spacing w:after="0" w:line="240" w:lineRule="auto"/>
        <w:ind w:firstLine="709"/>
        <w:jc w:val="both"/>
        <w:rPr>
          <w:rFonts w:ascii="Times New Roman" w:eastAsia="Times New Roman" w:hAnsi="Times New Roman" w:cs="Times New Roman"/>
          <w:sz w:val="28"/>
          <w:szCs w:val="28"/>
          <w:lang w:eastAsia="ru-RU"/>
        </w:rPr>
      </w:pPr>
      <w:r w:rsidRPr="009808C7">
        <w:rPr>
          <w:rFonts w:ascii="Times New Roman" w:eastAsia="Times New Roman" w:hAnsi="Times New Roman" w:cs="Times New Roman"/>
          <w:sz w:val="28"/>
          <w:szCs w:val="28"/>
          <w:lang w:eastAsia="ru-RU"/>
        </w:rPr>
        <w:t>Единственным видом услуг в сфере культуры, практически не представленный бюджетным сектором (за исключением 1-го муниципального учреждения города Елизово), остаются услуги кинопрокатной деятельности. В крае действуют 2 негосударственных коммерческих кинотеатра. С 2017 года осуществляет свою деятельность коммерческий выездной кинотеатр.</w:t>
      </w:r>
    </w:p>
    <w:p w:rsidR="00BF16E8" w:rsidRPr="009808C7" w:rsidRDefault="00BF16E8" w:rsidP="00BF16E8">
      <w:pPr>
        <w:widowControl w:val="0"/>
        <w:spacing w:after="0" w:line="240" w:lineRule="auto"/>
        <w:ind w:firstLine="709"/>
        <w:jc w:val="both"/>
        <w:rPr>
          <w:rFonts w:ascii="Times New Roman" w:eastAsia="Times New Roman" w:hAnsi="Times New Roman" w:cs="Times New Roman"/>
          <w:sz w:val="28"/>
          <w:szCs w:val="28"/>
          <w:lang w:eastAsia="ru-RU"/>
        </w:rPr>
      </w:pPr>
      <w:r w:rsidRPr="009808C7">
        <w:rPr>
          <w:rFonts w:ascii="Times New Roman" w:eastAsia="Times New Roman" w:hAnsi="Times New Roman" w:cs="Times New Roman"/>
          <w:sz w:val="28"/>
          <w:szCs w:val="28"/>
          <w:lang w:eastAsia="ru-RU"/>
        </w:rPr>
        <w:t xml:space="preserve">Большинство предприятий (74 %) сосредоточено в краевой столице – Петропавловске-Камчатском. Чуть более 13 % предприятий зарегистрированы и осуществляют свою деятельность на территории </w:t>
      </w:r>
      <w:proofErr w:type="spellStart"/>
      <w:r w:rsidRPr="009808C7">
        <w:rPr>
          <w:rFonts w:ascii="Times New Roman" w:eastAsia="Times New Roman" w:hAnsi="Times New Roman" w:cs="Times New Roman"/>
          <w:sz w:val="28"/>
          <w:szCs w:val="28"/>
          <w:lang w:eastAsia="ru-RU"/>
        </w:rPr>
        <w:t>Елизовского</w:t>
      </w:r>
      <w:proofErr w:type="spellEnd"/>
      <w:r w:rsidRPr="009808C7">
        <w:rPr>
          <w:rFonts w:ascii="Times New Roman" w:eastAsia="Times New Roman" w:hAnsi="Times New Roman" w:cs="Times New Roman"/>
          <w:sz w:val="28"/>
          <w:szCs w:val="28"/>
          <w:lang w:eastAsia="ru-RU"/>
        </w:rPr>
        <w:t xml:space="preserve"> муниципального района, 8,5 % - на территории </w:t>
      </w:r>
      <w:proofErr w:type="spellStart"/>
      <w:r w:rsidRPr="009808C7">
        <w:rPr>
          <w:rFonts w:ascii="Times New Roman" w:eastAsia="Times New Roman" w:hAnsi="Times New Roman" w:cs="Times New Roman"/>
          <w:sz w:val="28"/>
          <w:szCs w:val="28"/>
          <w:lang w:eastAsia="ru-RU"/>
        </w:rPr>
        <w:t>Вилючинского</w:t>
      </w:r>
      <w:proofErr w:type="spellEnd"/>
      <w:r w:rsidRPr="009808C7">
        <w:rPr>
          <w:rFonts w:ascii="Times New Roman" w:eastAsia="Times New Roman" w:hAnsi="Times New Roman" w:cs="Times New Roman"/>
          <w:sz w:val="28"/>
          <w:szCs w:val="28"/>
          <w:lang w:eastAsia="ru-RU"/>
        </w:rPr>
        <w:t xml:space="preserve"> городского округа. Негосударственные коммерческие предприятия в Усть-Камчатском, и </w:t>
      </w:r>
      <w:proofErr w:type="spellStart"/>
      <w:r w:rsidRPr="009808C7">
        <w:rPr>
          <w:rFonts w:ascii="Times New Roman" w:eastAsia="Times New Roman" w:hAnsi="Times New Roman" w:cs="Times New Roman"/>
          <w:sz w:val="28"/>
          <w:szCs w:val="28"/>
          <w:lang w:eastAsia="ru-RU"/>
        </w:rPr>
        <w:t>Тигильском</w:t>
      </w:r>
      <w:proofErr w:type="spellEnd"/>
      <w:r w:rsidRPr="009808C7">
        <w:rPr>
          <w:rFonts w:ascii="Times New Roman" w:eastAsia="Times New Roman" w:hAnsi="Times New Roman" w:cs="Times New Roman"/>
          <w:sz w:val="28"/>
          <w:szCs w:val="28"/>
          <w:lang w:eastAsia="ru-RU"/>
        </w:rPr>
        <w:t xml:space="preserve"> муниципальных районах не превышают суммарно 4,5 %, а в остальных муниципальных районах негосударственный коммерческий сектор не представлен ни одной организацией. Таким образом, более 40,3 тыс. </w:t>
      </w:r>
      <w:r w:rsidRPr="009808C7">
        <w:rPr>
          <w:rFonts w:ascii="Times New Roman" w:eastAsia="Times New Roman" w:hAnsi="Times New Roman" w:cs="Times New Roman"/>
          <w:sz w:val="28"/>
          <w:szCs w:val="28"/>
          <w:lang w:eastAsia="ru-RU"/>
        </w:rPr>
        <w:lastRenderedPageBreak/>
        <w:t>человек в отдаленных муниципалитетах не охвачены услугами культуры, предоставляемыми негосударственным сектором.</w:t>
      </w:r>
    </w:p>
    <w:p w:rsidR="00BF16E8" w:rsidRPr="009808C7" w:rsidRDefault="00BF16E8" w:rsidP="00BF16E8">
      <w:pPr>
        <w:widowControl w:val="0"/>
        <w:spacing w:after="0" w:line="240" w:lineRule="auto"/>
        <w:ind w:firstLine="709"/>
        <w:jc w:val="both"/>
        <w:rPr>
          <w:rFonts w:ascii="Times New Roman" w:hAnsi="Times New Roman" w:cs="Times New Roman"/>
          <w:bCs/>
          <w:color w:val="000000"/>
          <w:sz w:val="28"/>
          <w:szCs w:val="28"/>
        </w:rPr>
      </w:pPr>
      <w:r w:rsidRPr="009808C7">
        <w:rPr>
          <w:rFonts w:ascii="Times New Roman" w:eastAsia="Times New Roman" w:hAnsi="Times New Roman" w:cs="Times New Roman"/>
          <w:sz w:val="28"/>
          <w:szCs w:val="28"/>
          <w:lang w:eastAsia="ru-RU"/>
        </w:rPr>
        <w:t>В ходе социологического исследования «Удовлетворенность потребителей качеством товаров и услуг и ценовой конкуренцией на рынках Камчатского края», проведенного в 2018 году Камчатским государственным техническим университетом, было установлено</w:t>
      </w:r>
      <w:r w:rsidRPr="009808C7">
        <w:rPr>
          <w:rFonts w:ascii="Times New Roman" w:hAnsi="Times New Roman" w:cs="Times New Roman"/>
          <w:bCs/>
          <w:color w:val="000000"/>
          <w:sz w:val="28"/>
          <w:szCs w:val="28"/>
        </w:rPr>
        <w:t xml:space="preserve">, что 53,3% респондентов удовлетворены количеством предприятий, действующих на рынке услуг в сфере культуры, 35,7% респондентов не удовлетворены. </w:t>
      </w:r>
    </w:p>
    <w:p w:rsidR="00BF16E8" w:rsidRPr="009808C7" w:rsidRDefault="00BF16E8" w:rsidP="00BF16E8">
      <w:pPr>
        <w:widowControl w:val="0"/>
        <w:spacing w:after="0" w:line="240" w:lineRule="auto"/>
        <w:ind w:firstLine="709"/>
        <w:jc w:val="both"/>
        <w:rPr>
          <w:rFonts w:ascii="Times New Roman" w:hAnsi="Times New Roman" w:cs="Times New Roman"/>
          <w:bCs/>
          <w:color w:val="000000"/>
          <w:sz w:val="28"/>
          <w:szCs w:val="28"/>
        </w:rPr>
      </w:pPr>
      <w:r w:rsidRPr="009808C7">
        <w:rPr>
          <w:rFonts w:ascii="Times New Roman" w:hAnsi="Times New Roman" w:cs="Times New Roman"/>
          <w:sz w:val="28"/>
          <w:szCs w:val="28"/>
        </w:rPr>
        <w:t xml:space="preserve">По мнению значительной доли респондентов, количество организаций за последние 3 года либо не изменилось (44%), либо увеличилось (29%). Только 7% опрошенных решили, что количество услуг сократилось. </w:t>
      </w:r>
    </w:p>
    <w:p w:rsidR="00BF16E8" w:rsidRPr="009808C7" w:rsidRDefault="00BF16E8" w:rsidP="00BF16E8">
      <w:pPr>
        <w:widowControl w:val="0"/>
        <w:spacing w:after="0" w:line="240" w:lineRule="auto"/>
        <w:ind w:firstLine="709"/>
        <w:jc w:val="both"/>
        <w:rPr>
          <w:rFonts w:ascii="Times New Roman" w:hAnsi="Times New Roman" w:cs="Times New Roman"/>
          <w:bCs/>
          <w:color w:val="000000"/>
          <w:sz w:val="28"/>
          <w:szCs w:val="28"/>
        </w:rPr>
      </w:pPr>
      <w:r w:rsidRPr="009808C7">
        <w:rPr>
          <w:rFonts w:ascii="Times New Roman" w:hAnsi="Times New Roman" w:cs="Times New Roman"/>
          <w:bCs/>
          <w:color w:val="000000"/>
          <w:sz w:val="28"/>
          <w:szCs w:val="28"/>
        </w:rPr>
        <w:t>По данному показателю отмечена положительная динамика – в разрезе с 2017 годом количество респондентов, считающих недостаточным объем услуг в сфере культуры, уменьшился на 5,4%.</w:t>
      </w:r>
    </w:p>
    <w:p w:rsidR="00BF16E8" w:rsidRPr="009808C7" w:rsidRDefault="00BF16E8" w:rsidP="00BF16E8">
      <w:pPr>
        <w:widowControl w:val="0"/>
        <w:spacing w:after="0" w:line="240" w:lineRule="auto"/>
        <w:jc w:val="both"/>
        <w:rPr>
          <w:rFonts w:ascii="Times New Roman" w:eastAsia="Times New Roman" w:hAnsi="Times New Roman" w:cs="Times New Roman"/>
          <w:sz w:val="28"/>
          <w:szCs w:val="28"/>
          <w:lang w:eastAsia="ru-RU"/>
        </w:rPr>
      </w:pPr>
      <w:r w:rsidRPr="009808C7">
        <w:rPr>
          <w:rFonts w:ascii="Times New Roman" w:hAnsi="Times New Roman" w:cs="Times New Roman"/>
          <w:bCs/>
          <w:noProof/>
          <w:color w:val="000000"/>
          <w:sz w:val="28"/>
          <w:szCs w:val="28"/>
          <w:lang w:eastAsia="ru-RU"/>
        </w:rPr>
        <w:drawing>
          <wp:inline distT="0" distB="0" distL="0" distR="0" wp14:anchorId="1526E9F5" wp14:editId="10EA24FD">
            <wp:extent cx="5760000" cy="2520000"/>
            <wp:effectExtent l="0" t="0" r="12700" b="13970"/>
            <wp:docPr id="107" name="Диаграмма 10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F16E8" w:rsidRPr="009808C7" w:rsidRDefault="00BF16E8" w:rsidP="00BF16E8">
      <w:pPr>
        <w:widowControl w:val="0"/>
        <w:spacing w:after="0" w:line="240" w:lineRule="auto"/>
        <w:ind w:firstLine="709"/>
        <w:jc w:val="both"/>
        <w:rPr>
          <w:rFonts w:ascii="Times New Roman" w:eastAsia="Times New Roman" w:hAnsi="Times New Roman" w:cs="Times New Roman"/>
          <w:sz w:val="28"/>
          <w:szCs w:val="28"/>
          <w:lang w:eastAsia="ru-RU"/>
        </w:rPr>
      </w:pPr>
    </w:p>
    <w:p w:rsidR="00BF16E8" w:rsidRPr="00F07D2E" w:rsidRDefault="00BF16E8" w:rsidP="00BF16E8">
      <w:pPr>
        <w:widowControl w:val="0"/>
        <w:spacing w:after="0" w:line="240" w:lineRule="auto"/>
        <w:jc w:val="center"/>
        <w:rPr>
          <w:rFonts w:ascii="Times New Roman" w:eastAsia="Times New Roman" w:hAnsi="Times New Roman" w:cs="Times New Roman"/>
          <w:sz w:val="24"/>
          <w:szCs w:val="28"/>
          <w:lang w:eastAsia="ru-RU"/>
        </w:rPr>
      </w:pPr>
      <w:r w:rsidRPr="00F07D2E">
        <w:rPr>
          <w:rFonts w:ascii="Times New Roman" w:eastAsia="Times New Roman" w:hAnsi="Times New Roman" w:cs="Times New Roman"/>
          <w:sz w:val="24"/>
          <w:szCs w:val="28"/>
          <w:lang w:eastAsia="ru-RU"/>
        </w:rPr>
        <w:t>Рисунок 2.2.7. Оценка населением количества организаций,</w:t>
      </w:r>
      <w:r>
        <w:rPr>
          <w:rFonts w:ascii="Times New Roman" w:eastAsia="Times New Roman" w:hAnsi="Times New Roman" w:cs="Times New Roman"/>
          <w:sz w:val="24"/>
          <w:szCs w:val="28"/>
          <w:lang w:eastAsia="ru-RU"/>
        </w:rPr>
        <w:t xml:space="preserve"> </w:t>
      </w:r>
      <w:r w:rsidRPr="00F07D2E">
        <w:rPr>
          <w:rFonts w:ascii="Times New Roman" w:eastAsia="Times New Roman" w:hAnsi="Times New Roman" w:cs="Times New Roman"/>
          <w:sz w:val="24"/>
          <w:szCs w:val="28"/>
          <w:lang w:eastAsia="ru-RU"/>
        </w:rPr>
        <w:t>предоставляющих товары и услуги на рынках Камчатского края, %</w:t>
      </w:r>
    </w:p>
    <w:p w:rsidR="00BF16E8" w:rsidRDefault="00BF16E8" w:rsidP="00BF16E8">
      <w:pPr>
        <w:widowControl w:val="0"/>
        <w:spacing w:after="0" w:line="240" w:lineRule="auto"/>
        <w:ind w:firstLine="709"/>
        <w:jc w:val="both"/>
        <w:rPr>
          <w:rFonts w:ascii="Times New Roman" w:eastAsia="Times New Roman" w:hAnsi="Times New Roman" w:cs="Times New Roman"/>
          <w:sz w:val="28"/>
          <w:szCs w:val="28"/>
          <w:lang w:eastAsia="ru-RU"/>
        </w:rPr>
      </w:pPr>
    </w:p>
    <w:p w:rsidR="00BF16E8" w:rsidRDefault="00BF16E8" w:rsidP="00BF16E8">
      <w:pPr>
        <w:widowControl w:val="0"/>
        <w:spacing w:after="0" w:line="240" w:lineRule="auto"/>
        <w:ind w:firstLine="709"/>
        <w:jc w:val="both"/>
        <w:rPr>
          <w:rFonts w:ascii="Times New Roman" w:eastAsia="Times New Roman" w:hAnsi="Times New Roman" w:cs="Times New Roman"/>
          <w:sz w:val="28"/>
          <w:szCs w:val="28"/>
          <w:lang w:eastAsia="ru-RU"/>
        </w:rPr>
      </w:pPr>
      <w:r w:rsidRPr="009808C7">
        <w:rPr>
          <w:rFonts w:ascii="Times New Roman" w:eastAsia="Times New Roman" w:hAnsi="Times New Roman" w:cs="Times New Roman"/>
          <w:sz w:val="28"/>
          <w:szCs w:val="28"/>
          <w:lang w:eastAsia="ru-RU"/>
        </w:rPr>
        <w:t>Что касается удовлетворенности населения региона возможностью выбора товаров и услуг на рынке в сфере культуры, в динамике за последние три года данный показатель поступательно незначительно возрастает, но тем не менее сфера культуры по-прежнему в числе рынков с наиболее низкой по мнению населения возможностью выбора товаров и услуг.</w:t>
      </w:r>
    </w:p>
    <w:p w:rsidR="00BF16E8" w:rsidRDefault="00BF16E8" w:rsidP="00BF16E8">
      <w:pPr>
        <w:widowControl w:val="0"/>
        <w:spacing w:after="0" w:line="240" w:lineRule="auto"/>
        <w:ind w:firstLine="709"/>
        <w:jc w:val="both"/>
        <w:rPr>
          <w:rFonts w:ascii="Times New Roman" w:eastAsia="Times New Roman" w:hAnsi="Times New Roman" w:cs="Times New Roman"/>
          <w:sz w:val="24"/>
          <w:szCs w:val="24"/>
          <w:lang w:eastAsia="ru-RU"/>
        </w:rPr>
      </w:pPr>
    </w:p>
    <w:p w:rsidR="00BF16E8" w:rsidRPr="009808C7" w:rsidRDefault="00BF16E8" w:rsidP="00BF16E8">
      <w:pPr>
        <w:widowControl w:val="0"/>
        <w:spacing w:after="0" w:line="240" w:lineRule="auto"/>
        <w:jc w:val="both"/>
        <w:rPr>
          <w:rFonts w:ascii="Times New Roman" w:hAnsi="Times New Roman" w:cs="Times New Roman"/>
          <w:bCs/>
          <w:color w:val="000000"/>
          <w:sz w:val="28"/>
          <w:szCs w:val="28"/>
        </w:rPr>
      </w:pPr>
      <w:r w:rsidRPr="009808C7">
        <w:rPr>
          <w:rFonts w:ascii="Times New Roman" w:hAnsi="Times New Roman" w:cs="Times New Roman"/>
          <w:bCs/>
          <w:noProof/>
          <w:color w:val="000000"/>
          <w:sz w:val="28"/>
          <w:szCs w:val="28"/>
          <w:lang w:eastAsia="ru-RU"/>
        </w:rPr>
        <w:lastRenderedPageBreak/>
        <w:drawing>
          <wp:inline distT="0" distB="0" distL="0" distR="0" wp14:anchorId="0199AE3E" wp14:editId="7FBE3A11">
            <wp:extent cx="6105525" cy="2100580"/>
            <wp:effectExtent l="0" t="0" r="9525" b="13970"/>
            <wp:docPr id="108" name="Диаграмма 10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F16E8" w:rsidRDefault="00BF16E8" w:rsidP="00BF16E8">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BF16E8" w:rsidRPr="00F07D2E" w:rsidRDefault="00BF16E8" w:rsidP="00BF16E8">
      <w:pPr>
        <w:widowControl w:val="0"/>
        <w:autoSpaceDE w:val="0"/>
        <w:autoSpaceDN w:val="0"/>
        <w:adjustRightInd w:val="0"/>
        <w:spacing w:after="0" w:line="240" w:lineRule="auto"/>
        <w:jc w:val="center"/>
        <w:rPr>
          <w:rFonts w:ascii="Times New Roman" w:hAnsi="Times New Roman" w:cs="Times New Roman"/>
          <w:bCs/>
          <w:color w:val="000000"/>
          <w:sz w:val="24"/>
          <w:szCs w:val="28"/>
        </w:rPr>
      </w:pPr>
      <w:r w:rsidRPr="00F07D2E">
        <w:rPr>
          <w:rFonts w:ascii="Times New Roman" w:hAnsi="Times New Roman" w:cs="Times New Roman"/>
          <w:bCs/>
          <w:color w:val="000000"/>
          <w:sz w:val="24"/>
          <w:szCs w:val="28"/>
        </w:rPr>
        <w:t>Рисунок 2.2.8. Оценка удовлетворенности населением количества организаций, предоставляющих товары и услуги на рынках Камчатского края, %</w:t>
      </w:r>
    </w:p>
    <w:p w:rsidR="00BF16E8" w:rsidRPr="009808C7" w:rsidRDefault="00BF16E8" w:rsidP="00BF16E8">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BF16E8" w:rsidRPr="009808C7" w:rsidRDefault="00BF16E8" w:rsidP="00BF16E8">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808C7">
        <w:rPr>
          <w:rFonts w:ascii="Times New Roman" w:hAnsi="Times New Roman" w:cs="Times New Roman"/>
          <w:bCs/>
          <w:color w:val="000000"/>
          <w:sz w:val="28"/>
          <w:szCs w:val="28"/>
        </w:rPr>
        <w:t xml:space="preserve">35,1% считают удовлетворительным уровень цен на </w:t>
      </w:r>
      <w:r w:rsidRPr="009808C7">
        <w:rPr>
          <w:rFonts w:ascii="Times New Roman" w:hAnsi="Times New Roman" w:cs="Times New Roman"/>
          <w:bCs/>
          <w:sz w:val="28"/>
          <w:szCs w:val="28"/>
        </w:rPr>
        <w:t xml:space="preserve">услуги в сфере культуры. Однако, говорить о привлекательном уровне цен на этих рынках не представляется возможным, т.к. более 50% респондентов оценили сложившийся уровень цен как неудовлетворительный. При этом всё же динамика положительная – в разрезе с 2017 годом на 5,5% респондентов больше отметили, что считают цены на услуги в сфере культуры удовлетворительными. </w:t>
      </w:r>
    </w:p>
    <w:p w:rsidR="00BF16E8" w:rsidRDefault="00BF16E8" w:rsidP="00BF16E8">
      <w:pPr>
        <w:widowControl w:val="0"/>
        <w:spacing w:after="0" w:line="240" w:lineRule="auto"/>
        <w:ind w:firstLine="708"/>
        <w:jc w:val="right"/>
        <w:rPr>
          <w:rFonts w:ascii="Times New Roman" w:eastAsia="Times New Roman" w:hAnsi="Times New Roman" w:cs="Times New Roman"/>
          <w:sz w:val="24"/>
          <w:szCs w:val="24"/>
          <w:lang w:eastAsia="ru-RU"/>
        </w:rPr>
      </w:pPr>
    </w:p>
    <w:p w:rsidR="00BF16E8" w:rsidRPr="00F07D2E" w:rsidRDefault="00BF16E8" w:rsidP="00BF16E8">
      <w:pPr>
        <w:widowControl w:val="0"/>
        <w:spacing w:after="0" w:line="240" w:lineRule="auto"/>
        <w:ind w:firstLine="708"/>
        <w:jc w:val="right"/>
        <w:rPr>
          <w:rFonts w:ascii="Times New Roman" w:hAnsi="Times New Roman" w:cs="Times New Roman"/>
          <w:bCs/>
          <w:sz w:val="28"/>
          <w:szCs w:val="28"/>
        </w:rPr>
      </w:pPr>
      <w:r w:rsidRPr="009808C7">
        <w:rPr>
          <w:rFonts w:ascii="Times New Roman" w:hAnsi="Times New Roman" w:cs="Times New Roman"/>
          <w:bCs/>
          <w:noProof/>
          <w:color w:val="000000"/>
          <w:sz w:val="28"/>
          <w:szCs w:val="28"/>
          <w:lang w:eastAsia="ru-RU"/>
        </w:rPr>
        <w:drawing>
          <wp:anchor distT="0" distB="0" distL="114300" distR="114300" simplePos="0" relativeHeight="251659264" behindDoc="1" locked="0" layoutInCell="1" allowOverlap="1" wp14:anchorId="3FC68B33" wp14:editId="3ED6EDA2">
            <wp:simplePos x="0" y="0"/>
            <wp:positionH relativeFrom="column">
              <wp:posOffset>-41910</wp:posOffset>
            </wp:positionH>
            <wp:positionV relativeFrom="paragraph">
              <wp:posOffset>57150</wp:posOffset>
            </wp:positionV>
            <wp:extent cx="6019800" cy="2519680"/>
            <wp:effectExtent l="0" t="0" r="0" b="13970"/>
            <wp:wrapTight wrapText="bothSides">
              <wp:wrapPolygon edited="0">
                <wp:start x="0" y="0"/>
                <wp:lineTo x="0" y="21556"/>
                <wp:lineTo x="21532" y="21556"/>
                <wp:lineTo x="21532" y="0"/>
                <wp:lineTo x="0" y="0"/>
              </wp:wrapPolygon>
            </wp:wrapTight>
            <wp:docPr id="109" name="Диаграмма 10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BF16E8" w:rsidRPr="00F07D2E" w:rsidRDefault="00BF16E8" w:rsidP="00BF16E8">
      <w:pPr>
        <w:widowControl w:val="0"/>
        <w:spacing w:after="0" w:line="240" w:lineRule="auto"/>
        <w:jc w:val="center"/>
        <w:rPr>
          <w:rFonts w:ascii="Times New Roman" w:eastAsia="Times New Roman" w:hAnsi="Times New Roman" w:cs="Times New Roman"/>
          <w:sz w:val="24"/>
          <w:szCs w:val="28"/>
          <w:lang w:eastAsia="ru-RU"/>
        </w:rPr>
      </w:pPr>
      <w:r w:rsidRPr="00F07D2E">
        <w:rPr>
          <w:rFonts w:ascii="Times New Roman" w:eastAsia="Times New Roman" w:hAnsi="Times New Roman" w:cs="Times New Roman"/>
          <w:sz w:val="24"/>
          <w:szCs w:val="28"/>
          <w:lang w:eastAsia="ru-RU"/>
        </w:rPr>
        <w:t>Рисунок 2.2.9. Оценка удовлетворенности населения ценами на товары и услуги, %</w:t>
      </w:r>
    </w:p>
    <w:p w:rsidR="00BF16E8" w:rsidRDefault="00BF16E8" w:rsidP="00BF16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F16E8" w:rsidRPr="009808C7" w:rsidRDefault="00BF16E8" w:rsidP="00BF16E8">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9808C7">
        <w:rPr>
          <w:rFonts w:ascii="Times New Roman" w:eastAsia="Times New Roman" w:hAnsi="Times New Roman" w:cs="Times New Roman"/>
          <w:sz w:val="28"/>
          <w:szCs w:val="28"/>
          <w:lang w:eastAsia="ru-RU"/>
        </w:rPr>
        <w:t xml:space="preserve">В динамике удовлетворенности потребителей по данному показателю значение планомерно </w:t>
      </w:r>
      <w:r>
        <w:rPr>
          <w:rFonts w:ascii="Times New Roman" w:eastAsia="Times New Roman" w:hAnsi="Times New Roman" w:cs="Times New Roman"/>
          <w:sz w:val="28"/>
          <w:szCs w:val="28"/>
          <w:lang w:eastAsia="ru-RU"/>
        </w:rPr>
        <w:t xml:space="preserve">снижается, но, всё же </w:t>
      </w:r>
      <w:r w:rsidRPr="009808C7">
        <w:rPr>
          <w:rFonts w:ascii="Times New Roman" w:eastAsia="Times New Roman" w:hAnsi="Times New Roman" w:cs="Times New Roman"/>
          <w:sz w:val="28"/>
          <w:szCs w:val="28"/>
          <w:lang w:eastAsia="ru-RU"/>
        </w:rPr>
        <w:t xml:space="preserve">более половины респондентов (51,3 %) не удовлетворены ценами на предоставляемые услуги в сфере культуры. </w:t>
      </w:r>
      <w:r>
        <w:rPr>
          <w:rFonts w:ascii="Times New Roman" w:eastAsia="Times New Roman" w:hAnsi="Times New Roman" w:cs="Times New Roman"/>
          <w:sz w:val="28"/>
          <w:szCs w:val="28"/>
          <w:lang w:eastAsia="ru-RU"/>
        </w:rPr>
        <w:t>С</w:t>
      </w:r>
      <w:r w:rsidRPr="009808C7">
        <w:rPr>
          <w:rFonts w:ascii="Times New Roman" w:hAnsi="Times New Roman" w:cs="Times New Roman"/>
          <w:bCs/>
          <w:sz w:val="28"/>
          <w:szCs w:val="28"/>
        </w:rPr>
        <w:t>тоит отметить, что в сфере культуры, как и п</w:t>
      </w:r>
      <w:r w:rsidRPr="009808C7">
        <w:rPr>
          <w:rFonts w:ascii="Times New Roman" w:hAnsi="Times New Roman" w:cs="Times New Roman"/>
          <w:bCs/>
          <w:color w:val="000000"/>
          <w:sz w:val="28"/>
          <w:szCs w:val="28"/>
        </w:rPr>
        <w:t xml:space="preserve">рактически на всех товарных рынках, присутствует тенденция снижения удовлетворенности ценами </w:t>
      </w:r>
      <w:r w:rsidRPr="009808C7">
        <w:rPr>
          <w:rFonts w:ascii="Times New Roman" w:eastAsia="Times New Roman" w:hAnsi="Times New Roman" w:cs="Times New Roman"/>
          <w:bCs/>
          <w:color w:val="000000"/>
          <w:sz w:val="28"/>
          <w:szCs w:val="28"/>
          <w:lang w:eastAsia="ru-RU"/>
        </w:rPr>
        <w:t>(-9,6% относительно 2016 г.).</w:t>
      </w:r>
    </w:p>
    <w:p w:rsidR="00BF16E8" w:rsidRPr="009808C7" w:rsidRDefault="00BF16E8" w:rsidP="00BF16E8">
      <w:pPr>
        <w:widowControl w:val="0"/>
        <w:spacing w:after="0" w:line="240" w:lineRule="auto"/>
        <w:rPr>
          <w:rFonts w:ascii="Times New Roman" w:eastAsia="Times New Roman" w:hAnsi="Times New Roman" w:cs="Times New Roman"/>
          <w:sz w:val="24"/>
          <w:szCs w:val="24"/>
          <w:lang w:eastAsia="ru-RU"/>
        </w:rPr>
      </w:pPr>
    </w:p>
    <w:p w:rsidR="00BF16E8" w:rsidRPr="009808C7" w:rsidRDefault="00BF16E8" w:rsidP="00BF16E8">
      <w:pPr>
        <w:widowControl w:val="0"/>
        <w:spacing w:after="0" w:line="240" w:lineRule="auto"/>
        <w:jc w:val="both"/>
        <w:rPr>
          <w:rFonts w:ascii="Times New Roman" w:eastAsia="Times New Roman" w:hAnsi="Times New Roman" w:cs="Times New Roman"/>
          <w:sz w:val="28"/>
          <w:szCs w:val="28"/>
          <w:lang w:eastAsia="ru-RU"/>
        </w:rPr>
      </w:pPr>
      <w:r w:rsidRPr="009808C7">
        <w:rPr>
          <w:rFonts w:ascii="Times New Roman" w:hAnsi="Times New Roman" w:cs="Times New Roman"/>
          <w:bCs/>
          <w:noProof/>
          <w:color w:val="000000"/>
          <w:sz w:val="28"/>
          <w:szCs w:val="28"/>
          <w:lang w:eastAsia="ru-RU"/>
        </w:rPr>
        <w:lastRenderedPageBreak/>
        <w:drawing>
          <wp:inline distT="0" distB="0" distL="0" distR="0" wp14:anchorId="56672BFA" wp14:editId="4F0F04A3">
            <wp:extent cx="5981700" cy="2519680"/>
            <wp:effectExtent l="0" t="0" r="0" b="13970"/>
            <wp:docPr id="110" name="Диаграмма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F16E8" w:rsidRDefault="00BF16E8" w:rsidP="00BF16E8">
      <w:pPr>
        <w:widowControl w:val="0"/>
        <w:spacing w:after="0" w:line="240" w:lineRule="auto"/>
        <w:ind w:firstLine="709"/>
        <w:jc w:val="both"/>
        <w:rPr>
          <w:rFonts w:ascii="Times New Roman" w:eastAsia="Times New Roman" w:hAnsi="Times New Roman" w:cs="Times New Roman"/>
          <w:sz w:val="28"/>
          <w:szCs w:val="28"/>
          <w:lang w:eastAsia="ru-RU"/>
        </w:rPr>
      </w:pPr>
    </w:p>
    <w:p w:rsidR="00BF16E8" w:rsidRPr="00F07D2E" w:rsidRDefault="00BF16E8" w:rsidP="00BF16E8">
      <w:pPr>
        <w:widowControl w:val="0"/>
        <w:spacing w:after="0" w:line="240" w:lineRule="auto"/>
        <w:ind w:firstLine="709"/>
        <w:jc w:val="both"/>
        <w:rPr>
          <w:rFonts w:ascii="Times New Roman" w:eastAsia="Times New Roman" w:hAnsi="Times New Roman" w:cs="Times New Roman"/>
          <w:sz w:val="24"/>
          <w:szCs w:val="28"/>
          <w:lang w:eastAsia="ru-RU"/>
        </w:rPr>
      </w:pPr>
      <w:r w:rsidRPr="00F07D2E">
        <w:rPr>
          <w:rFonts w:ascii="Times New Roman" w:eastAsia="Times New Roman" w:hAnsi="Times New Roman" w:cs="Times New Roman"/>
          <w:sz w:val="24"/>
          <w:szCs w:val="28"/>
          <w:lang w:eastAsia="ru-RU"/>
        </w:rPr>
        <w:t>Рисунок 2.2.10. Динамика оценок населением по уровню неудовлетворенности ценами, (доли респондентов, %)</w:t>
      </w:r>
    </w:p>
    <w:p w:rsidR="00BF16E8" w:rsidRDefault="00BF16E8" w:rsidP="00BF16E8">
      <w:pPr>
        <w:widowControl w:val="0"/>
        <w:spacing w:after="0" w:line="240" w:lineRule="auto"/>
        <w:ind w:firstLine="709"/>
        <w:jc w:val="both"/>
        <w:rPr>
          <w:rFonts w:ascii="Times New Roman" w:eastAsia="Times New Roman" w:hAnsi="Times New Roman" w:cs="Times New Roman"/>
          <w:sz w:val="28"/>
          <w:szCs w:val="28"/>
          <w:lang w:eastAsia="ru-RU"/>
        </w:rPr>
      </w:pPr>
    </w:p>
    <w:p w:rsidR="00BF16E8" w:rsidRPr="009808C7" w:rsidRDefault="00BF16E8" w:rsidP="00BF16E8">
      <w:pPr>
        <w:widowControl w:val="0"/>
        <w:spacing w:after="0" w:line="240" w:lineRule="auto"/>
        <w:ind w:firstLine="709"/>
        <w:jc w:val="both"/>
        <w:rPr>
          <w:rFonts w:ascii="Times New Roman" w:eastAsia="Times New Roman" w:hAnsi="Times New Roman" w:cs="Times New Roman"/>
          <w:sz w:val="28"/>
          <w:szCs w:val="28"/>
          <w:lang w:eastAsia="ru-RU"/>
        </w:rPr>
      </w:pPr>
      <w:r w:rsidRPr="009808C7">
        <w:rPr>
          <w:rFonts w:ascii="Times New Roman" w:eastAsia="Times New Roman" w:hAnsi="Times New Roman" w:cs="Times New Roman"/>
          <w:sz w:val="28"/>
          <w:szCs w:val="28"/>
          <w:lang w:eastAsia="ru-RU"/>
        </w:rPr>
        <w:t>В сравнении с 2016 годом удовлетворенность населения по данному показателю снизилась почти на 9,6 %.</w:t>
      </w:r>
    </w:p>
    <w:p w:rsidR="00BF16E8" w:rsidRPr="009808C7" w:rsidRDefault="00BF16E8" w:rsidP="00BF16E8">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9808C7">
        <w:rPr>
          <w:rFonts w:ascii="Times New Roman" w:hAnsi="Times New Roman" w:cs="Times New Roman"/>
          <w:bCs/>
          <w:color w:val="000000"/>
          <w:sz w:val="28"/>
          <w:szCs w:val="28"/>
        </w:rPr>
        <w:t xml:space="preserve">Качеством товаров на рынке услуг в сфере культуры удовлетворены 41,5%. В разрезе с 2016 годом </w:t>
      </w:r>
      <w:r>
        <w:rPr>
          <w:rFonts w:ascii="Times New Roman" w:hAnsi="Times New Roman" w:cs="Times New Roman"/>
          <w:bCs/>
          <w:color w:val="000000"/>
          <w:sz w:val="28"/>
          <w:szCs w:val="28"/>
        </w:rPr>
        <w:t>этот показатель вырос на 12,7%.</w:t>
      </w:r>
    </w:p>
    <w:p w:rsidR="00BF16E8" w:rsidRPr="009808C7" w:rsidRDefault="00BF16E8" w:rsidP="00BF16E8">
      <w:pPr>
        <w:widowControl w:val="0"/>
        <w:spacing w:after="0" w:line="240" w:lineRule="auto"/>
        <w:jc w:val="both"/>
        <w:rPr>
          <w:rFonts w:ascii="Times New Roman" w:hAnsi="Times New Roman" w:cs="Times New Roman"/>
          <w:bCs/>
          <w:color w:val="000000"/>
          <w:sz w:val="28"/>
          <w:szCs w:val="28"/>
        </w:rPr>
      </w:pPr>
      <w:r w:rsidRPr="009808C7">
        <w:rPr>
          <w:rFonts w:ascii="Times New Roman" w:hAnsi="Times New Roman" w:cs="Times New Roman"/>
          <w:bCs/>
          <w:noProof/>
          <w:color w:val="000000"/>
          <w:sz w:val="28"/>
          <w:szCs w:val="28"/>
          <w:lang w:eastAsia="ru-RU"/>
        </w:rPr>
        <w:drawing>
          <wp:inline distT="0" distB="0" distL="0" distR="0" wp14:anchorId="0E31D3DC" wp14:editId="28994EF4">
            <wp:extent cx="5981700" cy="2519680"/>
            <wp:effectExtent l="0" t="0" r="0" b="13970"/>
            <wp:docPr id="111" name="Диаграмма 1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F16E8" w:rsidRPr="009808C7" w:rsidRDefault="00BF16E8" w:rsidP="00BF16E8">
      <w:pPr>
        <w:widowControl w:val="0"/>
        <w:spacing w:after="0" w:line="240" w:lineRule="auto"/>
        <w:ind w:firstLine="709"/>
        <w:jc w:val="both"/>
        <w:rPr>
          <w:rFonts w:ascii="Times New Roman" w:hAnsi="Times New Roman" w:cs="Times New Roman"/>
          <w:bCs/>
          <w:color w:val="000000"/>
          <w:sz w:val="28"/>
          <w:szCs w:val="28"/>
        </w:rPr>
      </w:pPr>
    </w:p>
    <w:p w:rsidR="00BF16E8" w:rsidRPr="00F07D2E" w:rsidRDefault="00BF16E8" w:rsidP="00BF16E8">
      <w:pPr>
        <w:widowControl w:val="0"/>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Рисунок 2.2.11. </w:t>
      </w:r>
      <w:r w:rsidRPr="00F07D2E">
        <w:rPr>
          <w:rFonts w:ascii="Times New Roman" w:hAnsi="Times New Roman" w:cs="Times New Roman"/>
          <w:sz w:val="24"/>
          <w:szCs w:val="28"/>
        </w:rPr>
        <w:t>Динамика оценок населением уровня удовлетворенности качеством товаров и услуг (доли респондентов, %)</w:t>
      </w:r>
    </w:p>
    <w:p w:rsidR="00BF16E8" w:rsidRDefault="00BF16E8" w:rsidP="00BF16E8">
      <w:pPr>
        <w:widowControl w:val="0"/>
        <w:spacing w:after="0" w:line="240" w:lineRule="auto"/>
        <w:ind w:firstLine="709"/>
        <w:jc w:val="both"/>
        <w:rPr>
          <w:rFonts w:ascii="Times New Roman" w:hAnsi="Times New Roman" w:cs="Times New Roman"/>
          <w:sz w:val="28"/>
          <w:szCs w:val="28"/>
        </w:rPr>
      </w:pPr>
    </w:p>
    <w:p w:rsidR="00BF16E8" w:rsidRPr="009808C7" w:rsidRDefault="00BF16E8" w:rsidP="00BF16E8">
      <w:pPr>
        <w:widowControl w:val="0"/>
        <w:spacing w:after="0" w:line="240" w:lineRule="auto"/>
        <w:ind w:firstLine="709"/>
        <w:jc w:val="both"/>
        <w:rPr>
          <w:rFonts w:ascii="Times New Roman" w:hAnsi="Times New Roman" w:cs="Times New Roman"/>
          <w:bCs/>
          <w:color w:val="000000"/>
          <w:sz w:val="28"/>
          <w:szCs w:val="28"/>
        </w:rPr>
      </w:pPr>
      <w:r w:rsidRPr="009808C7">
        <w:rPr>
          <w:rFonts w:ascii="Times New Roman" w:hAnsi="Times New Roman" w:cs="Times New Roman"/>
          <w:sz w:val="28"/>
          <w:szCs w:val="28"/>
        </w:rPr>
        <w:t>Большая часть опрошенных (42%)</w:t>
      </w:r>
      <w:r>
        <w:rPr>
          <w:rFonts w:ascii="Times New Roman" w:hAnsi="Times New Roman" w:cs="Times New Roman"/>
          <w:sz w:val="28"/>
          <w:szCs w:val="28"/>
        </w:rPr>
        <w:t xml:space="preserve"> </w:t>
      </w:r>
      <w:r w:rsidRPr="009808C7">
        <w:rPr>
          <w:rFonts w:ascii="Times New Roman" w:hAnsi="Times New Roman" w:cs="Times New Roman"/>
          <w:sz w:val="28"/>
          <w:szCs w:val="28"/>
        </w:rPr>
        <w:t>полагает, что качество услуг за последние 3 года не изменилось, 25,7% считают, что повысилось, и 7,7% отметили снижение уровня по данному показателю.</w:t>
      </w:r>
    </w:p>
    <w:p w:rsidR="00BF16E8" w:rsidRPr="00685EC0" w:rsidRDefault="00BF16E8" w:rsidP="00BF16E8">
      <w:pPr>
        <w:spacing w:after="120" w:line="240" w:lineRule="auto"/>
        <w:ind w:firstLine="709"/>
        <w:jc w:val="both"/>
        <w:rPr>
          <w:rFonts w:ascii="Times New Roman" w:eastAsia="Times New Roman" w:hAnsi="Times New Roman" w:cs="Times New Roman"/>
          <w:b/>
          <w:sz w:val="28"/>
          <w:szCs w:val="28"/>
          <w:u w:val="single"/>
          <w:lang w:eastAsia="ru-RU"/>
        </w:rPr>
      </w:pPr>
    </w:p>
    <w:p w:rsidR="00BF16E8" w:rsidRPr="00B61E4E" w:rsidRDefault="00BF16E8" w:rsidP="00BF16E8">
      <w:pPr>
        <w:spacing w:after="0" w:line="240" w:lineRule="auto"/>
        <w:ind w:firstLine="709"/>
        <w:jc w:val="both"/>
        <w:rPr>
          <w:rFonts w:ascii="Times New Roman" w:eastAsia="Calibri" w:hAnsi="Times New Roman" w:cs="Times New Roman"/>
          <w:b/>
          <w:sz w:val="28"/>
          <w:szCs w:val="28"/>
        </w:rPr>
      </w:pPr>
      <w:r w:rsidRPr="00B61E4E">
        <w:rPr>
          <w:rFonts w:ascii="Times New Roman" w:eastAsia="Calibri" w:hAnsi="Times New Roman" w:cs="Times New Roman"/>
          <w:b/>
          <w:sz w:val="28"/>
          <w:szCs w:val="28"/>
        </w:rPr>
        <w:t>Информация о выполнении мероприятий, достижении целевых показателей</w:t>
      </w:r>
    </w:p>
    <w:p w:rsidR="00BF16E8" w:rsidRPr="009808C7" w:rsidRDefault="00BF16E8" w:rsidP="00BF16E8">
      <w:pPr>
        <w:spacing w:after="0" w:line="240" w:lineRule="auto"/>
        <w:ind w:firstLine="709"/>
        <w:jc w:val="both"/>
        <w:rPr>
          <w:rFonts w:ascii="Times New Roman" w:eastAsia="Times New Roman" w:hAnsi="Times New Roman" w:cs="Times New Roman"/>
          <w:sz w:val="28"/>
          <w:szCs w:val="28"/>
          <w:lang w:eastAsia="ru-RU"/>
        </w:rPr>
      </w:pPr>
      <w:r w:rsidRPr="009808C7">
        <w:rPr>
          <w:rFonts w:ascii="Times New Roman" w:eastAsia="Times New Roman" w:hAnsi="Times New Roman" w:cs="Times New Roman"/>
          <w:sz w:val="28"/>
          <w:szCs w:val="28"/>
          <w:lang w:eastAsia="ru-RU"/>
        </w:rPr>
        <w:lastRenderedPageBreak/>
        <w:t>Меры, направленные на развитие конкуренции, поддержку организаций негосударственного (немуниципального) сектора на рынке услуг в сфере культуры предусмотрены следующими документами:</w:t>
      </w:r>
    </w:p>
    <w:p w:rsidR="00BF16E8" w:rsidRPr="009808C7" w:rsidRDefault="00BF16E8" w:rsidP="00BF16E8">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9808C7">
        <w:rPr>
          <w:rFonts w:ascii="Times New Roman" w:eastAsia="Times New Roman" w:hAnsi="Times New Roman" w:cs="Times New Roman"/>
          <w:sz w:val="28"/>
          <w:szCs w:val="28"/>
          <w:lang w:eastAsia="ru-RU"/>
        </w:rPr>
        <w:t xml:space="preserve">План </w:t>
      </w:r>
      <w:r w:rsidRPr="009808C7">
        <w:rPr>
          <w:rFonts w:ascii="Times New Roman" w:eastAsia="Times New Roman" w:hAnsi="Times New Roman" w:cs="Times New Roman"/>
          <w:color w:val="000000"/>
          <w:sz w:val="28"/>
          <w:szCs w:val="28"/>
          <w:lang w:eastAsia="ru-RU"/>
        </w:rPr>
        <w:t xml:space="preserve">мероприятий («дорожная карта») «Развитие конкуренции в Камчатском крае на 2016-2018 годы» </w:t>
      </w:r>
      <w:r w:rsidRPr="009808C7">
        <w:rPr>
          <w:rFonts w:ascii="Times New Roman" w:eastAsia="Times New Roman" w:hAnsi="Times New Roman" w:cs="Times New Roman"/>
          <w:sz w:val="28"/>
          <w:szCs w:val="28"/>
          <w:lang w:eastAsia="ru-RU"/>
        </w:rPr>
        <w:t>(далее – План мероприятий)</w:t>
      </w:r>
      <w:r w:rsidRPr="009808C7">
        <w:rPr>
          <w:rFonts w:ascii="Times New Roman" w:eastAsia="Times New Roman" w:hAnsi="Times New Roman" w:cs="Times New Roman"/>
          <w:color w:val="000000"/>
          <w:sz w:val="28"/>
          <w:szCs w:val="28"/>
          <w:lang w:eastAsia="ru-RU"/>
        </w:rPr>
        <w:t xml:space="preserve">, утвержден распоряжением Правительства Камчатского края от 11 февраля 2016 года № 71-РП (с </w:t>
      </w:r>
      <w:r w:rsidRPr="009808C7">
        <w:rPr>
          <w:rFonts w:ascii="Times New Roman" w:eastAsia="Times New Roman" w:hAnsi="Times New Roman" w:cs="Times New Roman"/>
          <w:sz w:val="28"/>
          <w:szCs w:val="28"/>
          <w:lang w:eastAsia="ru-RU"/>
        </w:rPr>
        <w:t>изменениями от 05 апреля 2017 года № 131-РП, 05 июля 2017 года № 265-РП).</w:t>
      </w:r>
    </w:p>
    <w:p w:rsidR="00BF16E8" w:rsidRPr="009808C7" w:rsidRDefault="00BF16E8" w:rsidP="00BF16E8">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9808C7">
        <w:rPr>
          <w:rFonts w:ascii="Times New Roman" w:eastAsia="Times New Roman" w:hAnsi="Times New Roman" w:cs="Times New Roman"/>
          <w:sz w:val="28"/>
          <w:szCs w:val="28"/>
          <w:lang w:eastAsia="ru-RU"/>
        </w:rPr>
        <w:t>План мероприятий по государственной поддержке доступа негосударственных организаций к предоставлению услуг в социальной сфере в Камчатском крае на 2016-2018 годы, утвержден распоряжением Правительства Камчатского края от 12.01.2016 № 8-РП.</w:t>
      </w:r>
    </w:p>
    <w:p w:rsidR="00BF16E8" w:rsidRPr="009808C7" w:rsidRDefault="00BF16E8" w:rsidP="00BF16E8">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9808C7">
        <w:rPr>
          <w:rFonts w:ascii="Times New Roman" w:eastAsia="Times New Roman" w:hAnsi="Times New Roman" w:cs="Times New Roman"/>
          <w:sz w:val="28"/>
          <w:szCs w:val="28"/>
          <w:lang w:eastAsia="ru-RU"/>
        </w:rPr>
        <w:t>Комплексный план мероприятий по обеспечению поэтапного доступа СОНКО, осуществляющих деятельность в социальной сфере, к бюджетным средствам, выделяемым на предоставление социальных услуг населению в Камчатском крае, утвержден распоряжением Правительства Камчатского края от 04.10.2016 № 483-РП.</w:t>
      </w:r>
    </w:p>
    <w:p w:rsidR="00BF16E8" w:rsidRPr="009808C7" w:rsidRDefault="00BF16E8" w:rsidP="00BF16E8">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9808C7">
        <w:rPr>
          <w:rFonts w:ascii="Times New Roman" w:eastAsia="Times New Roman" w:hAnsi="Times New Roman" w:cs="Times New Roman"/>
          <w:sz w:val="28"/>
          <w:szCs w:val="28"/>
          <w:lang w:eastAsia="ru-RU"/>
        </w:rPr>
        <w:t>В целях развития конкуренции на рынке товаров, работ, услуг в сфере культуры в Камчатском крае приказом Министерства культуры Камчатского края № 37 от 05.02.2016 утвержден ведомственный план мероприятий («дорожная карта») «Развитие конкуренции в сфере культуры Камчатского края на 2016-2018 гг.».</w:t>
      </w:r>
    </w:p>
    <w:p w:rsidR="00BF16E8" w:rsidRPr="009808C7" w:rsidRDefault="00BF16E8" w:rsidP="00BF16E8">
      <w:pPr>
        <w:tabs>
          <w:tab w:val="left" w:pos="0"/>
        </w:tabs>
        <w:spacing w:after="0" w:line="240" w:lineRule="auto"/>
        <w:ind w:firstLine="709"/>
        <w:jc w:val="both"/>
        <w:rPr>
          <w:rFonts w:ascii="Times New Roman" w:eastAsia="Times New Roman" w:hAnsi="Times New Roman" w:cs="Times New Roman"/>
          <w:sz w:val="28"/>
          <w:szCs w:val="28"/>
          <w:lang w:eastAsia="ru-RU"/>
        </w:rPr>
      </w:pPr>
      <w:r w:rsidRPr="009808C7">
        <w:rPr>
          <w:rFonts w:ascii="Times New Roman" w:eastAsia="Times New Roman" w:hAnsi="Times New Roman" w:cs="Times New Roman"/>
          <w:sz w:val="28"/>
          <w:szCs w:val="28"/>
          <w:lang w:eastAsia="ru-RU"/>
        </w:rPr>
        <w:t xml:space="preserve">В 2018 году достигнуты следующие результаты по показателям, утвержденным в Плане мероприятий для по содействия развитию конкуренции на рынке: </w:t>
      </w:r>
    </w:p>
    <w:p w:rsidR="00BF16E8" w:rsidRPr="009808C7" w:rsidRDefault="00BF16E8" w:rsidP="00BF16E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808C7">
        <w:rPr>
          <w:rFonts w:ascii="Times New Roman" w:eastAsia="Times New Roman" w:hAnsi="Times New Roman" w:cs="Times New Roman"/>
          <w:sz w:val="28"/>
          <w:szCs w:val="28"/>
          <w:lang w:eastAsia="ru-RU"/>
        </w:rPr>
        <w:t xml:space="preserve">1) Формирование реестра поставщиков социально значимых услуг в сфере культуры региона: </w:t>
      </w:r>
    </w:p>
    <w:p w:rsidR="00BF16E8" w:rsidRDefault="00BF16E8" w:rsidP="00BF16E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808C7">
        <w:rPr>
          <w:rFonts w:ascii="Times New Roman" w:eastAsia="Times New Roman" w:hAnsi="Times New Roman" w:cs="Times New Roman"/>
          <w:sz w:val="28"/>
          <w:szCs w:val="28"/>
          <w:lang w:eastAsia="ru-RU"/>
        </w:rPr>
        <w:t>- в реестр по личному заявлению включены 2 социально-ориентированные некоммерческие.</w:t>
      </w:r>
    </w:p>
    <w:p w:rsidR="00BF16E8" w:rsidRPr="009808C7" w:rsidRDefault="00BF16E8" w:rsidP="00BF16E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BF16E8" w:rsidRPr="009808C7" w:rsidRDefault="00BF16E8" w:rsidP="00BF16E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808C7">
        <w:rPr>
          <w:rFonts w:ascii="Times New Roman" w:eastAsia="Times New Roman" w:hAnsi="Times New Roman" w:cs="Times New Roman"/>
          <w:sz w:val="28"/>
          <w:szCs w:val="28"/>
          <w:lang w:eastAsia="ru-RU"/>
        </w:rPr>
        <w:t xml:space="preserve">2) Создание равных условий участия в закупках товаров, работ, услуг для обеспечения государственных и муниципальных нужд (в том числе с проведением конкурсных процедур) хозяйствующих субъектов, доля участия Камчатского края или муниципального образования в Камчатском крае в которых составляет 50 и более процентов: </w:t>
      </w:r>
    </w:p>
    <w:p w:rsidR="00BF16E8" w:rsidRDefault="00BF16E8" w:rsidP="00BF16E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808C7">
        <w:rPr>
          <w:rFonts w:ascii="Times New Roman" w:eastAsia="Times New Roman" w:hAnsi="Times New Roman" w:cs="Times New Roman"/>
          <w:sz w:val="28"/>
          <w:szCs w:val="28"/>
          <w:lang w:eastAsia="ru-RU"/>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 три квартала 2017 года состоялась 93 процедур закупок (аукцион либо контракт до 100 тыс. руб. без аукциона). В 91 случаях поставщиками товаров и услуг выступили субъекты МСП (97,8 %). </w:t>
      </w:r>
    </w:p>
    <w:p w:rsidR="00BF16E8" w:rsidRPr="009808C7" w:rsidRDefault="00BF16E8" w:rsidP="00BF16E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BF16E8" w:rsidRPr="009808C7" w:rsidRDefault="00BF16E8" w:rsidP="00BF16E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808C7">
        <w:rPr>
          <w:rFonts w:ascii="Times New Roman" w:eastAsia="Times New Roman" w:hAnsi="Times New Roman" w:cs="Times New Roman"/>
          <w:sz w:val="28"/>
          <w:szCs w:val="28"/>
          <w:lang w:eastAsia="ru-RU"/>
        </w:rPr>
        <w:t>3) Реализация мер по обеспечению доступа негосударственных (немуниципальных) организаций к предоставлению услуг в сфере культуры:</w:t>
      </w:r>
    </w:p>
    <w:p w:rsidR="00BF16E8" w:rsidRPr="009808C7" w:rsidRDefault="00BF16E8" w:rsidP="00BF16E8">
      <w:pPr>
        <w:autoSpaceDE w:val="0"/>
        <w:autoSpaceDN w:val="0"/>
        <w:adjustRightInd w:val="0"/>
        <w:spacing w:after="0" w:line="240" w:lineRule="auto"/>
        <w:contextualSpacing/>
        <w:jc w:val="both"/>
        <w:rPr>
          <w:rFonts w:ascii="Times New Roman" w:eastAsia="Times New Roman" w:hAnsi="Times New Roman" w:cs="Times New Roman"/>
          <w:iCs/>
          <w:sz w:val="28"/>
          <w:szCs w:val="28"/>
          <w:lang w:eastAsia="ru-RU" w:bidi="ru-RU"/>
        </w:rPr>
      </w:pPr>
      <w:r w:rsidRPr="009808C7">
        <w:rPr>
          <w:rFonts w:ascii="Times New Roman" w:eastAsia="Times New Roman" w:hAnsi="Times New Roman" w:cs="Times New Roman"/>
          <w:iCs/>
          <w:sz w:val="28"/>
          <w:szCs w:val="28"/>
          <w:lang w:eastAsia="ru-RU" w:bidi="ru-RU"/>
        </w:rPr>
        <w:lastRenderedPageBreak/>
        <w:t>- в Государственной программе Камчатского края «Социальная поддержка граждан в Камчатском крае» на 2018 год было предусмотрено 450 тыс. руб., распределяемых на конкурсной основе, на право получения субсидий социально ориентированными некоммерческими организациями в Камчатском крае на реализацию социально значимых программ (проектов) в сфере культуры. Данные субсидии распределены, конкурс состоялся 04.04.2018 года. На конкурс были поданы заявки от 6-ти некоммерческих организаций. По решению конкурсной комиссии победителями конкурса стали:1) Автономная некоммерческая организация «Центр культуры и просвещения» с проектом «Выставка молодых художников Камчатки» - 150,000 тыс. рублей; 2) Автономная некоммерческая организация «Редакция газеты «Абориген Камчатки» с проектом по популяризации творчества выдающихся деятелей культуры Камчатского края В. В. Санакоева и Г. Г. Поротова путем издания двух тематических номеров газеты «Абориген Камчатки» - 124,000 руб.; 3) Автономная некоммерческая организация «Центр семейной культуры «БЛАГОДАТЬ» с проектом Новогодней сказочной программы для многодетных семей «Карта путешествий. В гостях у дедушки Вулкана» - 176,000 руб.</w:t>
      </w:r>
    </w:p>
    <w:p w:rsidR="00BF16E8" w:rsidRPr="009808C7" w:rsidRDefault="00BF16E8" w:rsidP="00BF16E8">
      <w:pPr>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ru-RU" w:bidi="ru-RU"/>
        </w:rPr>
      </w:pPr>
      <w:r w:rsidRPr="009808C7">
        <w:rPr>
          <w:rFonts w:ascii="Times New Roman" w:eastAsia="Times New Roman" w:hAnsi="Times New Roman" w:cs="Times New Roman"/>
          <w:iCs/>
          <w:sz w:val="28"/>
          <w:szCs w:val="28"/>
          <w:lang w:eastAsia="ru-RU" w:bidi="ru-RU"/>
        </w:rPr>
        <w:t xml:space="preserve">Объем средств государственной программы развития культуры в Камчатском крае, направленных на реализацию творческих проектов и программ, определяется путем суммирования средств регионального бюджета, запланированных на реализацию ряда мероприятий. В расчет не берутся стройки и ремонты, государственные задания и наказы депутатов. </w:t>
      </w:r>
      <w:r>
        <w:rPr>
          <w:rFonts w:ascii="Times New Roman" w:eastAsia="Times New Roman" w:hAnsi="Times New Roman" w:cs="Times New Roman"/>
          <w:iCs/>
          <w:sz w:val="28"/>
          <w:szCs w:val="28"/>
          <w:lang w:eastAsia="ru-RU" w:bidi="ru-RU"/>
        </w:rPr>
        <w:t>Д</w:t>
      </w:r>
      <w:r w:rsidRPr="009808C7">
        <w:rPr>
          <w:rFonts w:ascii="Times New Roman" w:eastAsia="Times New Roman" w:hAnsi="Times New Roman" w:cs="Times New Roman"/>
          <w:iCs/>
          <w:sz w:val="28"/>
          <w:szCs w:val="28"/>
          <w:lang w:eastAsia="ru-RU" w:bidi="ru-RU"/>
        </w:rPr>
        <w:t>оля расходов бюджета, распределяемых на конкурсной основе, выделяемых на финансирование деятельности организаций всех форм собственности в сфере культуры от объема средств государственной программы развития культуры в Камчатском крае, направленных на реализацию творческих проектов и программ составляет 5,6 % (при плановом значении в 5 %).</w:t>
      </w:r>
    </w:p>
    <w:p w:rsidR="00BF16E8" w:rsidRPr="009808C7" w:rsidRDefault="00BF16E8" w:rsidP="00BF16E8">
      <w:pPr>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ru-RU" w:bidi="ru-RU"/>
        </w:rPr>
      </w:pPr>
      <w:r w:rsidRPr="009808C7">
        <w:rPr>
          <w:rFonts w:ascii="Times New Roman" w:eastAsia="Times New Roman" w:hAnsi="Times New Roman" w:cs="Times New Roman"/>
          <w:iCs/>
          <w:sz w:val="28"/>
          <w:szCs w:val="28"/>
          <w:lang w:eastAsia="ru-RU" w:bidi="ru-RU"/>
        </w:rPr>
        <w:t>4) Содействие реализации негосударственными СОНКО творческих проектов и программ:</w:t>
      </w:r>
    </w:p>
    <w:p w:rsidR="00BF16E8" w:rsidRDefault="00BF16E8" w:rsidP="00BF16E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808C7">
        <w:rPr>
          <w:rFonts w:ascii="Times New Roman" w:eastAsia="Times New Roman" w:hAnsi="Times New Roman" w:cs="Times New Roman"/>
          <w:sz w:val="28"/>
          <w:szCs w:val="28"/>
          <w:lang w:eastAsia="ru-RU"/>
        </w:rPr>
        <w:t xml:space="preserve">- в 2018 году на базе краевых государственных музеев (Камчатского краевого художественного и Корякского окружного краеведческого музеев) были организованы 7 выставок камчатских союзов художников и народного </w:t>
      </w:r>
      <w:proofErr w:type="spellStart"/>
      <w:r w:rsidRPr="009808C7">
        <w:rPr>
          <w:rFonts w:ascii="Times New Roman" w:eastAsia="Times New Roman" w:hAnsi="Times New Roman" w:cs="Times New Roman"/>
          <w:sz w:val="28"/>
          <w:szCs w:val="28"/>
          <w:lang w:eastAsia="ru-RU"/>
        </w:rPr>
        <w:t>фотоклуба</w:t>
      </w:r>
      <w:proofErr w:type="spellEnd"/>
      <w:r w:rsidRPr="009808C7">
        <w:rPr>
          <w:rFonts w:ascii="Times New Roman" w:eastAsia="Times New Roman" w:hAnsi="Times New Roman" w:cs="Times New Roman"/>
          <w:sz w:val="28"/>
          <w:szCs w:val="28"/>
          <w:lang w:eastAsia="ru-RU"/>
        </w:rPr>
        <w:t xml:space="preserve"> «Камчатка», 13 мероприятий, проводимых некоммерческими организациями и объединениями, были организованы на базе Камчатской краевой научной библиотеки имени С.П. Крашенинникова (безвозмездное предоставление помещения и помощь в освещении мероприятий; организации, пользующиеся поддержкой: АНО «Камчатский краевой центр поддержки СОНКО», КРМОО «Центр молодежных исследований и волонтерской работы», АНО «Духовно-просветительский центр»), 2 мероприятия были проведено на базе Центра культуры и досуга "Сероглазка". Всего 22 мероприятия (целевое значение – 18 ед.). </w:t>
      </w:r>
    </w:p>
    <w:p w:rsidR="00BF16E8" w:rsidRPr="009808C7" w:rsidRDefault="00BF16E8" w:rsidP="00BF16E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BF16E8" w:rsidRPr="009808C7" w:rsidRDefault="00BF16E8" w:rsidP="00BF16E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808C7">
        <w:rPr>
          <w:rFonts w:ascii="Times New Roman" w:eastAsia="Times New Roman" w:hAnsi="Times New Roman" w:cs="Times New Roman"/>
          <w:sz w:val="28"/>
          <w:szCs w:val="28"/>
          <w:lang w:eastAsia="ru-RU"/>
        </w:rPr>
        <w:t>5) Мониторинг конкурентной среды в сфере культуры:</w:t>
      </w:r>
    </w:p>
    <w:p w:rsidR="00BF16E8" w:rsidRPr="009808C7" w:rsidRDefault="00BF16E8" w:rsidP="00BF16E8">
      <w:pPr>
        <w:spacing w:after="0" w:line="240" w:lineRule="auto"/>
        <w:ind w:firstLine="708"/>
        <w:jc w:val="both"/>
        <w:rPr>
          <w:rFonts w:ascii="Times New Roman" w:eastAsia="Calibri" w:hAnsi="Times New Roman" w:cs="Times New Roman"/>
          <w:iCs/>
          <w:color w:val="000000"/>
          <w:sz w:val="28"/>
          <w:szCs w:val="28"/>
          <w:lang w:eastAsia="ru-RU" w:bidi="ru-RU"/>
        </w:rPr>
      </w:pPr>
      <w:r w:rsidRPr="009808C7">
        <w:rPr>
          <w:rFonts w:ascii="Times New Roman" w:eastAsia="Calibri" w:hAnsi="Times New Roman" w:cs="Times New Roman"/>
          <w:iCs/>
          <w:color w:val="000000"/>
          <w:sz w:val="28"/>
          <w:szCs w:val="28"/>
          <w:lang w:eastAsia="ru-RU" w:bidi="ru-RU"/>
        </w:rPr>
        <w:lastRenderedPageBreak/>
        <w:t xml:space="preserve">В 2018 году Министерством </w:t>
      </w:r>
      <w:r w:rsidRPr="009808C7">
        <w:rPr>
          <w:rFonts w:ascii="Times New Roman" w:eastAsia="Times New Roman" w:hAnsi="Times New Roman" w:cs="Times New Roman"/>
          <w:sz w:val="28"/>
          <w:szCs w:val="28"/>
          <w:lang w:eastAsia="ru-RU"/>
        </w:rPr>
        <w:t xml:space="preserve">культуры Камчатского края </w:t>
      </w:r>
      <w:r w:rsidRPr="009808C7">
        <w:rPr>
          <w:rFonts w:ascii="Times New Roman" w:eastAsia="Calibri" w:hAnsi="Times New Roman" w:cs="Times New Roman"/>
          <w:iCs/>
          <w:color w:val="000000"/>
          <w:sz w:val="28"/>
          <w:szCs w:val="28"/>
          <w:lang w:eastAsia="ru-RU" w:bidi="ru-RU"/>
        </w:rPr>
        <w:t xml:space="preserve">было проведено 12 мероприятий по сбору и обобщению информации о состоянии конкурентной среды и удовлетворенности потребителей качеством услуг в сфере культуры. </w:t>
      </w:r>
      <w:bookmarkStart w:id="2" w:name="OLE_LINK1"/>
      <w:r w:rsidRPr="009808C7">
        <w:rPr>
          <w:rFonts w:ascii="Times New Roman" w:eastAsia="Calibri" w:hAnsi="Times New Roman" w:cs="Times New Roman"/>
          <w:iCs/>
          <w:color w:val="000000"/>
          <w:sz w:val="28"/>
          <w:szCs w:val="28"/>
          <w:lang w:eastAsia="ru-RU" w:bidi="ru-RU"/>
        </w:rPr>
        <w:t>Проведены:</w:t>
      </w:r>
    </w:p>
    <w:p w:rsidR="00BF16E8" w:rsidRPr="009808C7" w:rsidRDefault="00BF16E8" w:rsidP="00BF16E8">
      <w:pPr>
        <w:spacing w:after="0" w:line="240" w:lineRule="auto"/>
        <w:ind w:firstLine="708"/>
        <w:jc w:val="both"/>
        <w:rPr>
          <w:rFonts w:ascii="Times New Roman" w:eastAsia="Calibri" w:hAnsi="Times New Roman" w:cs="Times New Roman"/>
          <w:iCs/>
          <w:color w:val="000000"/>
          <w:sz w:val="28"/>
          <w:szCs w:val="28"/>
          <w:lang w:eastAsia="ru-RU" w:bidi="ru-RU"/>
        </w:rPr>
      </w:pPr>
      <w:r w:rsidRPr="009808C7">
        <w:rPr>
          <w:rFonts w:ascii="Times New Roman" w:eastAsia="Calibri" w:hAnsi="Times New Roman" w:cs="Times New Roman"/>
          <w:iCs/>
          <w:color w:val="000000"/>
          <w:sz w:val="28"/>
          <w:szCs w:val="28"/>
          <w:lang w:eastAsia="ru-RU" w:bidi="ru-RU"/>
        </w:rPr>
        <w:t>- анализ динамики информационной активности в сфере культуры за период 2015-2017 гг. Установлено, что</w:t>
      </w:r>
      <w:r>
        <w:rPr>
          <w:rFonts w:ascii="Times New Roman" w:eastAsia="Calibri" w:hAnsi="Times New Roman" w:cs="Times New Roman"/>
          <w:iCs/>
          <w:color w:val="000000"/>
          <w:sz w:val="28"/>
          <w:szCs w:val="28"/>
          <w:lang w:eastAsia="ru-RU" w:bidi="ru-RU"/>
        </w:rPr>
        <w:t xml:space="preserve"> </w:t>
      </w:r>
      <w:r w:rsidRPr="009808C7">
        <w:rPr>
          <w:rFonts w:ascii="Times New Roman" w:eastAsia="Calibri" w:hAnsi="Times New Roman" w:cs="Times New Roman"/>
          <w:iCs/>
          <w:color w:val="000000"/>
          <w:sz w:val="28"/>
          <w:szCs w:val="28"/>
          <w:lang w:eastAsia="ru-RU" w:bidi="ru-RU"/>
        </w:rPr>
        <w:t xml:space="preserve">2017 году, с началом деятельности Пресс-центра Министерства культуры Камчатского края, информационный трафик в сфере культуры возрос более чем на 30 % в сравнении с предыдущим годом, а в сравнении с 2015 годом, который можно рассматривать в качестве контрольного, этот трафик возрос более чем в 3,3 раза, почти 18 % всего информационного продукта, проходящего через Пресс-центр Министерства культуры Камчатского края и распространяемого в СМИ, принадлежит негосударственному сектору (примерно 11,6 % - СОНКО), </w:t>
      </w:r>
    </w:p>
    <w:p w:rsidR="00BF16E8" w:rsidRPr="009808C7" w:rsidRDefault="00BF16E8" w:rsidP="00BF16E8">
      <w:pPr>
        <w:spacing w:after="0" w:line="240" w:lineRule="auto"/>
        <w:ind w:firstLine="708"/>
        <w:jc w:val="both"/>
        <w:rPr>
          <w:rFonts w:ascii="Times New Roman" w:eastAsia="Calibri" w:hAnsi="Times New Roman" w:cs="Times New Roman"/>
          <w:iCs/>
          <w:color w:val="000000"/>
          <w:sz w:val="28"/>
          <w:szCs w:val="28"/>
          <w:lang w:eastAsia="ru-RU" w:bidi="ru-RU"/>
        </w:rPr>
      </w:pPr>
      <w:r w:rsidRPr="009808C7">
        <w:rPr>
          <w:rFonts w:ascii="Times New Roman" w:eastAsia="Calibri" w:hAnsi="Times New Roman" w:cs="Times New Roman"/>
          <w:iCs/>
          <w:color w:val="000000"/>
          <w:sz w:val="28"/>
          <w:szCs w:val="28"/>
          <w:lang w:eastAsia="ru-RU" w:bidi="ru-RU"/>
        </w:rPr>
        <w:t>- актуализация перечня негосударственных организаций - партнеров ведомства, который на сегодняшний день насчитывает 47 организаций;</w:t>
      </w:r>
    </w:p>
    <w:p w:rsidR="00BF16E8" w:rsidRPr="009808C7" w:rsidRDefault="00BF16E8" w:rsidP="00BF16E8">
      <w:pPr>
        <w:spacing w:after="0" w:line="240" w:lineRule="auto"/>
        <w:ind w:firstLine="708"/>
        <w:jc w:val="both"/>
        <w:rPr>
          <w:rFonts w:ascii="Times New Roman" w:eastAsia="Calibri" w:hAnsi="Times New Roman" w:cs="Times New Roman"/>
          <w:iCs/>
          <w:color w:val="000000"/>
          <w:sz w:val="28"/>
          <w:szCs w:val="28"/>
          <w:lang w:eastAsia="ru-RU" w:bidi="ru-RU"/>
        </w:rPr>
      </w:pPr>
      <w:r w:rsidRPr="009808C7">
        <w:rPr>
          <w:rFonts w:ascii="Times New Roman" w:eastAsia="Calibri" w:hAnsi="Times New Roman" w:cs="Times New Roman"/>
          <w:iCs/>
          <w:color w:val="000000"/>
          <w:sz w:val="28"/>
          <w:szCs w:val="28"/>
          <w:lang w:eastAsia="ru-RU" w:bidi="ru-RU"/>
        </w:rPr>
        <w:t xml:space="preserve">- анализ информационной активности в сфере культуры в текущем году в сравнении с аналогичным периодом прошлого года. Установлено, что информационный трафик в сфере культуры вырос в среднем на 20 % в сравнении с аналогичным периодом прошлого года, </w:t>
      </w:r>
    </w:p>
    <w:p w:rsidR="00BF16E8" w:rsidRPr="009808C7" w:rsidRDefault="00BF16E8" w:rsidP="00BF16E8">
      <w:pPr>
        <w:spacing w:after="0" w:line="240" w:lineRule="auto"/>
        <w:ind w:firstLine="708"/>
        <w:jc w:val="both"/>
        <w:rPr>
          <w:rFonts w:ascii="Times New Roman" w:eastAsia="Calibri" w:hAnsi="Times New Roman" w:cs="Times New Roman"/>
          <w:iCs/>
          <w:color w:val="000000"/>
          <w:sz w:val="28"/>
          <w:szCs w:val="28"/>
          <w:lang w:eastAsia="ru-RU" w:bidi="ru-RU"/>
        </w:rPr>
      </w:pPr>
      <w:r w:rsidRPr="009808C7">
        <w:rPr>
          <w:rFonts w:ascii="Times New Roman" w:eastAsia="Calibri" w:hAnsi="Times New Roman" w:cs="Times New Roman"/>
          <w:iCs/>
          <w:color w:val="000000"/>
          <w:sz w:val="28"/>
          <w:szCs w:val="28"/>
          <w:lang w:eastAsia="ru-RU" w:bidi="ru-RU"/>
        </w:rPr>
        <w:t>- проведен анализ динамики информационной активности в сфере культуры в Автоматизированной информационной сети ЕИПСК. Установлено повышение информационного трафика в сфере культуры более чем на 15 % в сравнении с предыдущим годом</w:t>
      </w:r>
    </w:p>
    <w:p w:rsidR="00BF16E8" w:rsidRPr="009808C7" w:rsidRDefault="00BF16E8" w:rsidP="00BF16E8">
      <w:pPr>
        <w:spacing w:after="0" w:line="240" w:lineRule="auto"/>
        <w:ind w:firstLine="708"/>
        <w:jc w:val="both"/>
        <w:rPr>
          <w:rFonts w:ascii="Times New Roman" w:eastAsia="Calibri" w:hAnsi="Times New Roman" w:cs="Times New Roman"/>
          <w:iCs/>
          <w:color w:val="000000"/>
          <w:sz w:val="28"/>
          <w:szCs w:val="28"/>
          <w:lang w:eastAsia="ru-RU" w:bidi="ru-RU"/>
        </w:rPr>
      </w:pPr>
      <w:r w:rsidRPr="009808C7">
        <w:rPr>
          <w:rFonts w:ascii="Times New Roman" w:eastAsia="Calibri" w:hAnsi="Times New Roman" w:cs="Times New Roman"/>
          <w:iCs/>
          <w:color w:val="000000"/>
          <w:sz w:val="28"/>
          <w:szCs w:val="28"/>
          <w:lang w:eastAsia="ru-RU" w:bidi="ru-RU"/>
        </w:rPr>
        <w:t>- 7 исследований в учреждениях культуры с целью выявления уровня удовлетворенности полученными услугами среди посетителей. 4 опроса проведено (1 раз в квартал) в КГБУ «Камчатский краевой художественный музей», 1 в КГАУ «Камчатский театр драмы и комедии», 1 в КГБУ ЦКД «Сероглазка» и 1 в КГБУ «Камчатское концертно-филармоническое объединение».</w:t>
      </w:r>
    </w:p>
    <w:bookmarkEnd w:id="2"/>
    <w:p w:rsidR="00BF16E8" w:rsidRPr="009808C7" w:rsidRDefault="00BF16E8" w:rsidP="00BF16E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808C7">
        <w:rPr>
          <w:rFonts w:ascii="Times New Roman" w:eastAsia="Calibri" w:hAnsi="Times New Roman" w:cs="Times New Roman"/>
          <w:iCs/>
          <w:color w:val="000000"/>
          <w:sz w:val="28"/>
          <w:szCs w:val="28"/>
          <w:lang w:eastAsia="ru-RU" w:bidi="ru-RU"/>
        </w:rPr>
        <w:t xml:space="preserve">6) </w:t>
      </w:r>
      <w:r w:rsidRPr="009808C7">
        <w:rPr>
          <w:rFonts w:ascii="Times New Roman" w:eastAsia="Times New Roman" w:hAnsi="Times New Roman" w:cs="Times New Roman"/>
          <w:sz w:val="28"/>
          <w:szCs w:val="28"/>
          <w:lang w:eastAsia="ru-RU"/>
        </w:rPr>
        <w:t>Внедрение вариативных образовательных услуг в сфере культуры:</w:t>
      </w:r>
    </w:p>
    <w:p w:rsidR="00BF16E8" w:rsidRDefault="00BF16E8" w:rsidP="00BF16E8">
      <w:pPr>
        <w:autoSpaceDE w:val="0"/>
        <w:autoSpaceDN w:val="0"/>
        <w:adjustRightInd w:val="0"/>
        <w:spacing w:after="0" w:line="240" w:lineRule="auto"/>
        <w:ind w:firstLine="709"/>
        <w:contextualSpacing/>
        <w:jc w:val="both"/>
        <w:rPr>
          <w:rFonts w:ascii="Times New Roman" w:eastAsia="Calibri" w:hAnsi="Times New Roman" w:cs="Times New Roman"/>
          <w:iCs/>
          <w:color w:val="000000"/>
          <w:sz w:val="28"/>
          <w:szCs w:val="28"/>
          <w:lang w:eastAsia="ru-RU" w:bidi="ru-RU"/>
        </w:rPr>
      </w:pPr>
      <w:r w:rsidRPr="009808C7">
        <w:rPr>
          <w:rFonts w:ascii="Times New Roman" w:eastAsia="Calibri" w:hAnsi="Times New Roman" w:cs="Times New Roman"/>
          <w:iCs/>
          <w:color w:val="000000"/>
          <w:sz w:val="28"/>
          <w:szCs w:val="28"/>
          <w:lang w:eastAsia="ru-RU" w:bidi="ru-RU"/>
        </w:rPr>
        <w:t xml:space="preserve">- анализ внебюджетного сектора образовательных услуг выявил, что в 2018-2019 учебном году доля услуг, предоставляемых государственными и муниципальными детскими школами искусств составляет 8,3 % (при плановом значении 8,7 %). На внебюджетной основе образовательные услуги получают 404 учащихся из 4903 человек. Из них 53 % учащихся на внебюджетной основе – это учащиеся школ Петропавловск-Камчатского городского округа, 42 % - учащиеся школ </w:t>
      </w:r>
      <w:proofErr w:type="spellStart"/>
      <w:r w:rsidRPr="009808C7">
        <w:rPr>
          <w:rFonts w:ascii="Times New Roman" w:eastAsia="Calibri" w:hAnsi="Times New Roman" w:cs="Times New Roman"/>
          <w:iCs/>
          <w:color w:val="000000"/>
          <w:sz w:val="28"/>
          <w:szCs w:val="28"/>
          <w:lang w:eastAsia="ru-RU" w:bidi="ru-RU"/>
        </w:rPr>
        <w:t>Елизовского</w:t>
      </w:r>
      <w:proofErr w:type="spellEnd"/>
      <w:r w:rsidRPr="009808C7">
        <w:rPr>
          <w:rFonts w:ascii="Times New Roman" w:eastAsia="Calibri" w:hAnsi="Times New Roman" w:cs="Times New Roman"/>
          <w:iCs/>
          <w:color w:val="000000"/>
          <w:sz w:val="28"/>
          <w:szCs w:val="28"/>
          <w:lang w:eastAsia="ru-RU" w:bidi="ru-RU"/>
        </w:rPr>
        <w:t xml:space="preserve"> муниципального района, 5 % - учащиеся школ </w:t>
      </w:r>
      <w:proofErr w:type="spellStart"/>
      <w:r w:rsidRPr="009808C7">
        <w:rPr>
          <w:rFonts w:ascii="Times New Roman" w:eastAsia="Calibri" w:hAnsi="Times New Roman" w:cs="Times New Roman"/>
          <w:iCs/>
          <w:color w:val="000000"/>
          <w:sz w:val="28"/>
          <w:szCs w:val="28"/>
          <w:lang w:eastAsia="ru-RU" w:bidi="ru-RU"/>
        </w:rPr>
        <w:t>Вилючинского</w:t>
      </w:r>
      <w:proofErr w:type="spellEnd"/>
      <w:r w:rsidRPr="009808C7">
        <w:rPr>
          <w:rFonts w:ascii="Times New Roman" w:eastAsia="Calibri" w:hAnsi="Times New Roman" w:cs="Times New Roman"/>
          <w:iCs/>
          <w:color w:val="000000"/>
          <w:sz w:val="28"/>
          <w:szCs w:val="28"/>
          <w:lang w:eastAsia="ru-RU" w:bidi="ru-RU"/>
        </w:rPr>
        <w:t xml:space="preserve"> городского округа. В других муниципальных районах внебюджетный сектор в образовательных организациях по линии культуры не представлен.</w:t>
      </w:r>
    </w:p>
    <w:p w:rsidR="00BF16E8" w:rsidRPr="009808C7" w:rsidRDefault="00BF16E8" w:rsidP="00BF16E8">
      <w:pPr>
        <w:autoSpaceDE w:val="0"/>
        <w:autoSpaceDN w:val="0"/>
        <w:adjustRightInd w:val="0"/>
        <w:spacing w:after="0" w:line="240" w:lineRule="auto"/>
        <w:ind w:firstLine="709"/>
        <w:contextualSpacing/>
        <w:jc w:val="both"/>
        <w:rPr>
          <w:rFonts w:ascii="Times New Roman" w:eastAsia="Calibri" w:hAnsi="Times New Roman" w:cs="Times New Roman"/>
          <w:iCs/>
          <w:color w:val="000000"/>
          <w:sz w:val="28"/>
          <w:szCs w:val="28"/>
          <w:lang w:eastAsia="ru-RU" w:bidi="ru-RU"/>
        </w:rPr>
      </w:pPr>
    </w:p>
    <w:p w:rsidR="00BF16E8" w:rsidRPr="009808C7" w:rsidRDefault="00BF16E8" w:rsidP="00BF16E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808C7">
        <w:rPr>
          <w:rFonts w:ascii="Times New Roman" w:eastAsia="Calibri" w:hAnsi="Times New Roman" w:cs="Times New Roman"/>
          <w:iCs/>
          <w:color w:val="000000"/>
          <w:sz w:val="28"/>
          <w:szCs w:val="28"/>
          <w:lang w:eastAsia="ru-RU" w:bidi="ru-RU"/>
        </w:rPr>
        <w:t xml:space="preserve">8) </w:t>
      </w:r>
      <w:r w:rsidRPr="009808C7">
        <w:rPr>
          <w:rFonts w:ascii="Times New Roman" w:eastAsia="Times New Roman" w:hAnsi="Times New Roman" w:cs="Times New Roman"/>
          <w:sz w:val="28"/>
          <w:szCs w:val="28"/>
          <w:lang w:eastAsia="ru-RU"/>
        </w:rPr>
        <w:t>Организация информирования населения об оказываемых услугах в сфере культуры организациями различных форм собственности:</w:t>
      </w:r>
    </w:p>
    <w:p w:rsidR="00BF16E8" w:rsidRDefault="00BF16E8" w:rsidP="00BF16E8">
      <w:pPr>
        <w:autoSpaceDE w:val="0"/>
        <w:autoSpaceDN w:val="0"/>
        <w:adjustRightInd w:val="0"/>
        <w:spacing w:after="0" w:line="240" w:lineRule="auto"/>
        <w:ind w:firstLine="709"/>
        <w:contextualSpacing/>
        <w:jc w:val="both"/>
        <w:rPr>
          <w:rFonts w:ascii="Times New Roman" w:eastAsia="Calibri" w:hAnsi="Times New Roman" w:cs="Times New Roman"/>
          <w:iCs/>
          <w:color w:val="000000"/>
          <w:sz w:val="28"/>
          <w:szCs w:val="28"/>
          <w:lang w:eastAsia="ru-RU" w:bidi="ru-RU"/>
        </w:rPr>
      </w:pPr>
      <w:r w:rsidRPr="009808C7">
        <w:rPr>
          <w:rFonts w:ascii="Times New Roman" w:eastAsia="Calibri" w:hAnsi="Times New Roman" w:cs="Times New Roman"/>
          <w:iCs/>
          <w:color w:val="000000"/>
          <w:sz w:val="28"/>
          <w:szCs w:val="28"/>
          <w:lang w:eastAsia="ru-RU" w:bidi="ru-RU"/>
        </w:rPr>
        <w:t xml:space="preserve">- по итогам 2018 года Пресс-центром Министерства культуры было распространено в СМИ 932 информационных поводов в сфере культуры </w:t>
      </w:r>
      <w:r w:rsidRPr="009808C7">
        <w:rPr>
          <w:rFonts w:ascii="Times New Roman" w:eastAsia="Calibri" w:hAnsi="Times New Roman" w:cs="Times New Roman"/>
          <w:iCs/>
          <w:color w:val="000000"/>
          <w:sz w:val="28"/>
          <w:szCs w:val="28"/>
          <w:lang w:eastAsia="ru-RU" w:bidi="ru-RU"/>
        </w:rPr>
        <w:lastRenderedPageBreak/>
        <w:t>(анонс мероприятий, статьи-рецензии о проведённых мероприятиях).</w:t>
      </w:r>
      <w:r>
        <w:rPr>
          <w:rFonts w:ascii="Times New Roman" w:eastAsia="Calibri" w:hAnsi="Times New Roman" w:cs="Times New Roman"/>
          <w:iCs/>
          <w:color w:val="000000"/>
          <w:sz w:val="28"/>
          <w:szCs w:val="28"/>
          <w:lang w:eastAsia="ru-RU" w:bidi="ru-RU"/>
        </w:rPr>
        <w:t xml:space="preserve"> </w:t>
      </w:r>
      <w:r w:rsidRPr="009808C7">
        <w:rPr>
          <w:rFonts w:ascii="Times New Roman" w:eastAsia="Calibri" w:hAnsi="Times New Roman" w:cs="Times New Roman"/>
          <w:iCs/>
          <w:color w:val="000000"/>
          <w:sz w:val="28"/>
          <w:szCs w:val="28"/>
          <w:lang w:eastAsia="ru-RU" w:bidi="ru-RU"/>
        </w:rPr>
        <w:t>Доля информационного продукта негосударственного сектора составил 23 %.</w:t>
      </w:r>
    </w:p>
    <w:p w:rsidR="00BF16E8" w:rsidRPr="009808C7" w:rsidRDefault="00BF16E8" w:rsidP="00BF16E8">
      <w:pPr>
        <w:autoSpaceDE w:val="0"/>
        <w:autoSpaceDN w:val="0"/>
        <w:adjustRightInd w:val="0"/>
        <w:spacing w:after="0" w:line="240" w:lineRule="auto"/>
        <w:ind w:firstLine="709"/>
        <w:contextualSpacing/>
        <w:jc w:val="both"/>
        <w:rPr>
          <w:rFonts w:ascii="Times New Roman" w:eastAsia="Calibri" w:hAnsi="Times New Roman" w:cs="Times New Roman"/>
          <w:iCs/>
          <w:color w:val="000000"/>
          <w:sz w:val="28"/>
          <w:szCs w:val="28"/>
          <w:lang w:eastAsia="ru-RU" w:bidi="ru-RU"/>
        </w:rPr>
      </w:pPr>
    </w:p>
    <w:p w:rsidR="00BF16E8" w:rsidRPr="009808C7" w:rsidRDefault="00BF16E8" w:rsidP="00BF16E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808C7">
        <w:rPr>
          <w:rFonts w:ascii="Times New Roman" w:eastAsia="Calibri" w:hAnsi="Times New Roman" w:cs="Times New Roman"/>
          <w:iCs/>
          <w:sz w:val="28"/>
          <w:szCs w:val="28"/>
          <w:lang w:eastAsia="ru-RU" w:bidi="ru-RU"/>
        </w:rPr>
        <w:t xml:space="preserve">9) </w:t>
      </w:r>
      <w:r w:rsidRPr="009808C7">
        <w:rPr>
          <w:rFonts w:ascii="Times New Roman" w:eastAsia="Times New Roman" w:hAnsi="Times New Roman" w:cs="Times New Roman"/>
          <w:sz w:val="28"/>
          <w:szCs w:val="28"/>
          <w:lang w:eastAsia="ru-RU"/>
        </w:rPr>
        <w:t xml:space="preserve">Организация и проведение культурно-досуговых мероприятий с привлечением субъектов малых форм бизнеса в сфере культуры: </w:t>
      </w:r>
    </w:p>
    <w:p w:rsidR="00BF16E8" w:rsidRPr="009808C7" w:rsidRDefault="00BF16E8" w:rsidP="00BF16E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808C7">
        <w:rPr>
          <w:rFonts w:ascii="Times New Roman" w:eastAsia="Calibri" w:hAnsi="Times New Roman" w:cs="Times New Roman"/>
          <w:iCs/>
          <w:sz w:val="28"/>
          <w:szCs w:val="28"/>
          <w:lang w:eastAsia="ru-RU" w:bidi="ru-RU"/>
        </w:rPr>
        <w:t xml:space="preserve">- из 947 мероприятий, организованных в 2017 году краевыми государственными учреждениями культуры, 192 мероприятий были организованы при непосредственном участии негосударственного сектора (где СОНКО и субъекты МСП выступали в качестве </w:t>
      </w:r>
      <w:proofErr w:type="spellStart"/>
      <w:r w:rsidRPr="009808C7">
        <w:rPr>
          <w:rFonts w:ascii="Times New Roman" w:eastAsia="Calibri" w:hAnsi="Times New Roman" w:cs="Times New Roman"/>
          <w:iCs/>
          <w:sz w:val="28"/>
          <w:szCs w:val="28"/>
          <w:lang w:eastAsia="ru-RU" w:bidi="ru-RU"/>
        </w:rPr>
        <w:t>соорганизаторов</w:t>
      </w:r>
      <w:proofErr w:type="spellEnd"/>
      <w:r w:rsidRPr="009808C7">
        <w:rPr>
          <w:rFonts w:ascii="Times New Roman" w:eastAsia="Calibri" w:hAnsi="Times New Roman" w:cs="Times New Roman"/>
          <w:iCs/>
          <w:sz w:val="28"/>
          <w:szCs w:val="28"/>
          <w:lang w:eastAsia="ru-RU" w:bidi="ru-RU"/>
        </w:rPr>
        <w:t xml:space="preserve">). </w:t>
      </w:r>
    </w:p>
    <w:p w:rsidR="00BF16E8" w:rsidRPr="009808C7" w:rsidRDefault="00BF16E8" w:rsidP="00BF16E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808C7">
        <w:rPr>
          <w:rFonts w:ascii="Times New Roman" w:eastAsia="Times New Roman" w:hAnsi="Times New Roman" w:cs="Times New Roman"/>
          <w:sz w:val="28"/>
          <w:szCs w:val="28"/>
          <w:lang w:eastAsia="ru-RU"/>
        </w:rPr>
        <w:t>Мероприятия реализовывались совместно с КЦ «Лимонад», КЦ «Пирамида», издательством «</w:t>
      </w:r>
      <w:proofErr w:type="spellStart"/>
      <w:r w:rsidRPr="009808C7">
        <w:rPr>
          <w:rFonts w:ascii="Times New Roman" w:eastAsia="Times New Roman" w:hAnsi="Times New Roman" w:cs="Times New Roman"/>
          <w:sz w:val="28"/>
          <w:szCs w:val="28"/>
          <w:lang w:eastAsia="ru-RU"/>
        </w:rPr>
        <w:t>Камчатпресс</w:t>
      </w:r>
      <w:proofErr w:type="spellEnd"/>
      <w:r w:rsidRPr="009808C7">
        <w:rPr>
          <w:rFonts w:ascii="Times New Roman" w:eastAsia="Times New Roman" w:hAnsi="Times New Roman" w:cs="Times New Roman"/>
          <w:sz w:val="28"/>
          <w:szCs w:val="28"/>
          <w:lang w:eastAsia="ru-RU"/>
        </w:rPr>
        <w:t xml:space="preserve">», АНО «Духовно-просветительский центр», ООМ КМНС «Дружба Северян», Камчатским региональным отделением Союза художников России и </w:t>
      </w:r>
      <w:proofErr w:type="gramStart"/>
      <w:r w:rsidRPr="009808C7">
        <w:rPr>
          <w:rFonts w:ascii="Times New Roman" w:eastAsia="Times New Roman" w:hAnsi="Times New Roman" w:cs="Times New Roman"/>
          <w:sz w:val="28"/>
          <w:szCs w:val="28"/>
          <w:lang w:eastAsia="ru-RU"/>
        </w:rPr>
        <w:t>др..</w:t>
      </w:r>
      <w:proofErr w:type="gramEnd"/>
      <w:r w:rsidRPr="009808C7">
        <w:rPr>
          <w:rFonts w:ascii="Times New Roman" w:eastAsia="Times New Roman" w:hAnsi="Times New Roman" w:cs="Times New Roman"/>
          <w:sz w:val="28"/>
          <w:szCs w:val="28"/>
          <w:lang w:eastAsia="ru-RU"/>
        </w:rPr>
        <w:t xml:space="preserve"> </w:t>
      </w:r>
    </w:p>
    <w:p w:rsidR="00BF16E8" w:rsidRDefault="00BF16E8" w:rsidP="00BF16E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808C7">
        <w:rPr>
          <w:rFonts w:ascii="Times New Roman" w:eastAsia="Times New Roman" w:hAnsi="Times New Roman" w:cs="Times New Roman"/>
          <w:sz w:val="28"/>
          <w:szCs w:val="28"/>
          <w:lang w:eastAsia="ru-RU"/>
        </w:rPr>
        <w:t>Удельный вес мероприятий, проведенных с привлечением субъектов малых форм бизнеса, от общего количества мероприятий, проводимых краевыми государственными учреждениями культуры в 2018 году, составляет 20,3% (целевое значение – 10%).</w:t>
      </w:r>
    </w:p>
    <w:p w:rsidR="00BF16E8" w:rsidRPr="009808C7" w:rsidRDefault="00BF16E8" w:rsidP="00BF16E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BF16E8" w:rsidRPr="009808C7" w:rsidRDefault="00BF16E8" w:rsidP="00BF16E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808C7">
        <w:rPr>
          <w:rFonts w:ascii="Times New Roman" w:eastAsia="Times New Roman" w:hAnsi="Times New Roman" w:cs="Times New Roman"/>
          <w:sz w:val="28"/>
          <w:szCs w:val="28"/>
          <w:lang w:eastAsia="ru-RU"/>
        </w:rPr>
        <w:t>10) Организация и проведение семинаров, «круглых столов», конференций, консультаций, мастер-классов, направленных на повышение правовой культуры в среде негосударственных организаций, предоставляющие услуги в сфере культуры: показатель «количество проведенных мероприятий / количество организаций-участников» в 2018 году составляет 7/35 (целевое значение – 2/30).</w:t>
      </w:r>
    </w:p>
    <w:p w:rsidR="00BF16E8" w:rsidRPr="009808C7" w:rsidRDefault="00BF16E8" w:rsidP="00BF16E8">
      <w:pPr>
        <w:spacing w:after="0" w:line="240" w:lineRule="auto"/>
        <w:ind w:firstLine="709"/>
        <w:jc w:val="both"/>
        <w:rPr>
          <w:rFonts w:ascii="Times New Roman" w:eastAsia="Times New Roman" w:hAnsi="Times New Roman" w:cs="Times New Roman"/>
          <w:b/>
          <w:sz w:val="28"/>
          <w:szCs w:val="28"/>
          <w:lang w:eastAsia="ru-RU"/>
        </w:rPr>
      </w:pPr>
    </w:p>
    <w:p w:rsidR="00BF16E8" w:rsidRPr="009808C7" w:rsidRDefault="00BF16E8" w:rsidP="00BF16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08C7">
        <w:rPr>
          <w:rFonts w:ascii="Times New Roman" w:eastAsia="MS Mincho" w:hAnsi="Times New Roman" w:cs="Times New Roman"/>
          <w:b/>
          <w:sz w:val="28"/>
          <w:szCs w:val="28"/>
          <w:lang w:eastAsia="ru-RU"/>
        </w:rPr>
        <w:t>Проблемы и факторы, ограничивающие конкуренцию, предложения по развитию конкурентной среды</w:t>
      </w:r>
    </w:p>
    <w:p w:rsidR="00BF16E8" w:rsidRPr="009808C7" w:rsidRDefault="00BF16E8" w:rsidP="00BF16E8">
      <w:pPr>
        <w:widowControl w:val="0"/>
        <w:spacing w:after="0" w:line="240" w:lineRule="auto"/>
        <w:ind w:firstLine="709"/>
        <w:jc w:val="both"/>
        <w:rPr>
          <w:rFonts w:ascii="Times New Roman" w:eastAsia="Times New Roman" w:hAnsi="Times New Roman" w:cs="Times New Roman"/>
          <w:sz w:val="28"/>
          <w:szCs w:val="28"/>
          <w:lang w:eastAsia="ru-RU"/>
        </w:rPr>
      </w:pPr>
      <w:r w:rsidRPr="009808C7">
        <w:rPr>
          <w:rFonts w:ascii="Times New Roman" w:eastAsia="Times New Roman" w:hAnsi="Times New Roman" w:cs="Times New Roman"/>
          <w:sz w:val="28"/>
          <w:szCs w:val="28"/>
          <w:lang w:eastAsia="ru-RU"/>
        </w:rPr>
        <w:t>Ключевыми проблемами развития конкуренции, выявленными в ходе проведения мониторинга, анализа статистических данных, по прежнем остаются:</w:t>
      </w:r>
    </w:p>
    <w:p w:rsidR="00BF16E8" w:rsidRPr="009808C7" w:rsidRDefault="00BF16E8" w:rsidP="00BF16E8">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9808C7">
        <w:rPr>
          <w:rFonts w:ascii="Times New Roman" w:eastAsia="Times New Roman" w:hAnsi="Times New Roman" w:cs="Times New Roman"/>
          <w:sz w:val="28"/>
          <w:szCs w:val="28"/>
          <w:lang w:eastAsia="ru-RU"/>
        </w:rPr>
        <w:t>территориальная неравномерность структуры негосударственного коммерческого сектора рынка услуг в сфере культуры (полное его отсутствие в семи муниципальных районах);</w:t>
      </w:r>
    </w:p>
    <w:p w:rsidR="00BF16E8" w:rsidRDefault="00BF16E8" w:rsidP="00BF16E8">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9808C7">
        <w:rPr>
          <w:rFonts w:ascii="Times New Roman" w:eastAsia="Times New Roman" w:hAnsi="Times New Roman" w:cs="Times New Roman"/>
          <w:sz w:val="28"/>
          <w:szCs w:val="28"/>
          <w:lang w:eastAsia="ru-RU"/>
        </w:rPr>
        <w:t>высокий спрос на услуги кинопрокатных организаций на территории всего региона за исключением краевого центра;</w:t>
      </w:r>
    </w:p>
    <w:p w:rsidR="00BF16E8" w:rsidRDefault="00BF16E8" w:rsidP="00BF16E8">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высокие цены на услуги в условиях ограниченного предложения и низкой конкуренции; </w:t>
      </w:r>
    </w:p>
    <w:p w:rsidR="00BF16E8" w:rsidRPr="009808C7" w:rsidRDefault="00BF16E8" w:rsidP="00BF16E8">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9808C7">
        <w:rPr>
          <w:rFonts w:ascii="Times New Roman" w:eastAsia="Times New Roman" w:hAnsi="Times New Roman" w:cs="Times New Roman"/>
          <w:sz w:val="28"/>
          <w:szCs w:val="28"/>
          <w:lang w:eastAsia="ru-RU"/>
        </w:rPr>
        <w:t xml:space="preserve">наличие неудовлетворенного спроса на услуги профессионального концертно-театрального обслуживания населения на территории большинства муниципальных районов (профессиональные концертно-театральные организации стационарно действуют только в краевой столице и столице </w:t>
      </w:r>
      <w:proofErr w:type="spellStart"/>
      <w:r w:rsidRPr="009808C7">
        <w:rPr>
          <w:rFonts w:ascii="Times New Roman" w:eastAsia="Times New Roman" w:hAnsi="Times New Roman" w:cs="Times New Roman"/>
          <w:sz w:val="28"/>
          <w:szCs w:val="28"/>
          <w:lang w:eastAsia="ru-RU"/>
        </w:rPr>
        <w:t>Корякии</w:t>
      </w:r>
      <w:proofErr w:type="spellEnd"/>
      <w:r w:rsidRPr="009808C7">
        <w:rPr>
          <w:rFonts w:ascii="Times New Roman" w:eastAsia="Times New Roman" w:hAnsi="Times New Roman" w:cs="Times New Roman"/>
          <w:sz w:val="28"/>
          <w:szCs w:val="28"/>
          <w:lang w:eastAsia="ru-RU"/>
        </w:rPr>
        <w:t xml:space="preserve"> – поселке Палана);</w:t>
      </w:r>
    </w:p>
    <w:p w:rsidR="00BF16E8" w:rsidRPr="009808C7" w:rsidRDefault="00BF16E8" w:rsidP="00BF16E8">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9808C7">
        <w:rPr>
          <w:rFonts w:ascii="Times New Roman" w:eastAsia="Times New Roman" w:hAnsi="Times New Roman" w:cs="Times New Roman"/>
          <w:sz w:val="28"/>
          <w:szCs w:val="28"/>
          <w:lang w:eastAsia="ru-RU"/>
        </w:rPr>
        <w:t xml:space="preserve">наличие неудовлетворенного спроса на услуги зоопарков (в бюджетном секторе представлен только один муниципальный зоопарк, расположенный в </w:t>
      </w:r>
      <w:proofErr w:type="spellStart"/>
      <w:r w:rsidRPr="009808C7">
        <w:rPr>
          <w:rFonts w:ascii="Times New Roman" w:eastAsia="Times New Roman" w:hAnsi="Times New Roman" w:cs="Times New Roman"/>
          <w:sz w:val="28"/>
          <w:szCs w:val="28"/>
          <w:lang w:eastAsia="ru-RU"/>
        </w:rPr>
        <w:t>Елизовском</w:t>
      </w:r>
      <w:proofErr w:type="spellEnd"/>
      <w:r w:rsidRPr="009808C7">
        <w:rPr>
          <w:rFonts w:ascii="Times New Roman" w:eastAsia="Times New Roman" w:hAnsi="Times New Roman" w:cs="Times New Roman"/>
          <w:sz w:val="28"/>
          <w:szCs w:val="28"/>
          <w:lang w:eastAsia="ru-RU"/>
        </w:rPr>
        <w:t xml:space="preserve"> муниципальном районе, и два коммерческих </w:t>
      </w:r>
      <w:r w:rsidRPr="009808C7">
        <w:rPr>
          <w:rFonts w:ascii="Times New Roman" w:eastAsia="Times New Roman" w:hAnsi="Times New Roman" w:cs="Times New Roman"/>
          <w:sz w:val="28"/>
          <w:szCs w:val="28"/>
          <w:lang w:eastAsia="ru-RU"/>
        </w:rPr>
        <w:lastRenderedPageBreak/>
        <w:t>контактных зоопарка работают в Петропавловске-Камчатском);</w:t>
      </w:r>
    </w:p>
    <w:p w:rsidR="00BF16E8" w:rsidRPr="009B2504" w:rsidRDefault="00BF16E8" w:rsidP="00BF16E8">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9808C7">
        <w:rPr>
          <w:rFonts w:ascii="Times New Roman" w:eastAsia="Times New Roman" w:hAnsi="Times New Roman" w:cs="Times New Roman"/>
          <w:sz w:val="28"/>
          <w:szCs w:val="28"/>
          <w:lang w:eastAsia="ru-RU"/>
        </w:rPr>
        <w:t>недостаточное количество выставочных площадей, в связи с чем значительная часть музейных фондов не может быть продемонстрирована населению.</w:t>
      </w:r>
    </w:p>
    <w:p w:rsidR="00BF16E8" w:rsidRPr="009808C7" w:rsidRDefault="00BF16E8" w:rsidP="00BF16E8">
      <w:pPr>
        <w:widowControl w:val="0"/>
        <w:spacing w:after="0" w:line="240" w:lineRule="auto"/>
        <w:ind w:firstLine="709"/>
        <w:jc w:val="both"/>
        <w:rPr>
          <w:rFonts w:ascii="Times New Roman" w:eastAsia="Times New Roman" w:hAnsi="Times New Roman" w:cs="Times New Roman"/>
          <w:sz w:val="28"/>
          <w:szCs w:val="28"/>
          <w:lang w:eastAsia="ru-RU"/>
        </w:rPr>
      </w:pPr>
      <w:r w:rsidRPr="009808C7">
        <w:rPr>
          <w:rFonts w:ascii="Times New Roman" w:eastAsia="Times New Roman" w:hAnsi="Times New Roman" w:cs="Times New Roman"/>
          <w:sz w:val="28"/>
          <w:szCs w:val="28"/>
          <w:lang w:eastAsia="ru-RU"/>
        </w:rPr>
        <w:t xml:space="preserve">Причина указанных проблем связана с географическими и территориально-демографическими особенностями региона. Значительная удаленность большинства населенных пунктов от краевого центра и недостаточно развитая логистика представляет сложности не только для создания необходимых объектов инфраструктуры, но подчас и для осуществления выездной гастрольной деятельности. Сфера культуры отличается </w:t>
      </w:r>
      <w:proofErr w:type="spellStart"/>
      <w:r w:rsidRPr="009808C7">
        <w:rPr>
          <w:rFonts w:ascii="Times New Roman" w:eastAsia="Times New Roman" w:hAnsi="Times New Roman" w:cs="Times New Roman"/>
          <w:sz w:val="28"/>
          <w:szCs w:val="28"/>
          <w:lang w:eastAsia="ru-RU"/>
        </w:rPr>
        <w:t>мериторностью</w:t>
      </w:r>
      <w:proofErr w:type="spellEnd"/>
      <w:r w:rsidRPr="009808C7">
        <w:rPr>
          <w:rFonts w:ascii="Times New Roman" w:eastAsia="Times New Roman" w:hAnsi="Times New Roman" w:cs="Times New Roman"/>
          <w:sz w:val="28"/>
          <w:szCs w:val="28"/>
          <w:lang w:eastAsia="ru-RU"/>
        </w:rPr>
        <w:t>, спрос на услуги в сфере культуры со стороны ча</w:t>
      </w:r>
      <w:r w:rsidRPr="009808C7">
        <w:rPr>
          <w:rFonts w:ascii="Times New Roman" w:eastAsia="Times New Roman" w:hAnsi="Times New Roman" w:cs="Times New Roman"/>
          <w:sz w:val="28"/>
          <w:szCs w:val="28"/>
          <w:lang w:eastAsia="ru-RU"/>
        </w:rPr>
        <w:softHyphen/>
        <w:t xml:space="preserve">стных лиц отстает от «желаемого обществом» и стимулируется государством. В таких условиях сфера культуры в целом не отличается привлекательностью для потенциального инвестирования со стороны коммерческого сектора. </w:t>
      </w:r>
    </w:p>
    <w:p w:rsidR="00BF16E8" w:rsidRDefault="00BF16E8" w:rsidP="00BF16E8">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808C7">
        <w:rPr>
          <w:rFonts w:ascii="Times New Roman" w:eastAsia="Times New Roman" w:hAnsi="Times New Roman" w:cs="Times New Roman"/>
          <w:sz w:val="28"/>
          <w:szCs w:val="28"/>
          <w:lang w:eastAsia="ru-RU"/>
        </w:rPr>
        <w:t xml:space="preserve">Бизнес в сфере культуры – это безусловно социальное предпринимательство, но данный термин с точки нормативно-правового регулирования недостаточно определён, не ясна методика оценки и мер поддержки такого вида предпринимательства. Очевидно, что социальное предпринимательство, в отличии от обычной коммерческой деятельности, нацелено не столько на извлечение прибыли, сколько на создание стабильного автономного хозяйствующего субъекта, деятельность которого решает острые социальные задачи. Именно наличием успешной хозяйственной деятельности социальное предпринимательство ключевым образом отличается от социально-ориентированных некоммерческих организаций, решающих важные общественные задачи преимущественно за счет средств бюджетных субсидий и грантов. И меры поддержки такого вида предпринимательства должны отличаться от поддержки предпринимательства в целом. Они должны охватывать помимо возможности субсидирования и </w:t>
      </w:r>
      <w:proofErr w:type="spellStart"/>
      <w:r w:rsidRPr="009808C7">
        <w:rPr>
          <w:rFonts w:ascii="Times New Roman" w:eastAsia="Times New Roman" w:hAnsi="Times New Roman" w:cs="Times New Roman"/>
          <w:sz w:val="28"/>
          <w:szCs w:val="28"/>
          <w:lang w:eastAsia="ru-RU"/>
        </w:rPr>
        <w:t>грантовой</w:t>
      </w:r>
      <w:proofErr w:type="spellEnd"/>
      <w:r w:rsidRPr="009808C7">
        <w:rPr>
          <w:rFonts w:ascii="Times New Roman" w:eastAsia="Times New Roman" w:hAnsi="Times New Roman" w:cs="Times New Roman"/>
          <w:sz w:val="28"/>
          <w:szCs w:val="28"/>
          <w:lang w:eastAsia="ru-RU"/>
        </w:rPr>
        <w:t xml:space="preserve"> поддержки со стороны публичной власти преимущественный доступ к государственной и муниципальной недвижимости, пригодной для осуществления выбранной деятельности, налоговые преференции, пониженные тарифы на энергоносители и услуги связи, возможность исполнения государственных (муниципальных) заданий наравне с учреждениями. Но для применения таких мер поддержки необходимо точное определение на федеральном уровне, по каким критериям та или иная организация признается социальным предпринимательством.</w:t>
      </w:r>
    </w:p>
    <w:p w:rsidR="00BF16E8" w:rsidRPr="00B61E4E" w:rsidRDefault="00BF16E8" w:rsidP="00BF16E8">
      <w:pPr>
        <w:spacing w:after="0" w:line="240" w:lineRule="auto"/>
        <w:ind w:firstLine="709"/>
        <w:jc w:val="both"/>
        <w:rPr>
          <w:rFonts w:ascii="Times New Roman" w:eastAsia="Times New Roman" w:hAnsi="Times New Roman" w:cs="Times New Roman"/>
          <w:b/>
          <w:sz w:val="28"/>
          <w:szCs w:val="28"/>
          <w:lang w:eastAsia="ru-RU"/>
        </w:rPr>
      </w:pPr>
    </w:p>
    <w:p w:rsidR="00BF16E8" w:rsidRPr="00F160F1" w:rsidRDefault="00BF16E8" w:rsidP="00BF16E8">
      <w:pPr>
        <w:widowControl w:val="0"/>
        <w:spacing w:after="0" w:line="240" w:lineRule="auto"/>
        <w:ind w:firstLine="709"/>
        <w:jc w:val="both"/>
        <w:rPr>
          <w:rFonts w:ascii="Times New Roman" w:eastAsia="Times New Roman" w:hAnsi="Times New Roman" w:cs="Times New Roman"/>
          <w:sz w:val="28"/>
          <w:szCs w:val="28"/>
          <w:lang w:eastAsia="ru-RU"/>
        </w:rPr>
      </w:pPr>
      <w:r w:rsidRPr="00F160F1">
        <w:rPr>
          <w:rFonts w:ascii="Times New Roman" w:eastAsia="Times New Roman" w:hAnsi="Times New Roman" w:cs="Times New Roman"/>
          <w:sz w:val="28"/>
          <w:szCs w:val="28"/>
          <w:lang w:eastAsia="ru-RU"/>
        </w:rPr>
        <w:t>В целях развития социального предпринимательства в настоящее время Агентством инвестиций и предпринимательства разработан порядок и условия предоставления субсидий субъектам социального предпринимательства - субъектам МСП, осуществляющим деятельность в социальной сфере, направленную на достижение общественно-полезных целей.</w:t>
      </w:r>
    </w:p>
    <w:p w:rsidR="00BF16E8" w:rsidRPr="00F160F1" w:rsidRDefault="00BF16E8" w:rsidP="00BF16E8">
      <w:pPr>
        <w:widowControl w:val="0"/>
        <w:spacing w:after="0" w:line="240" w:lineRule="auto"/>
        <w:ind w:firstLine="709"/>
        <w:jc w:val="both"/>
        <w:rPr>
          <w:rFonts w:ascii="Times New Roman" w:eastAsia="Times New Roman" w:hAnsi="Times New Roman" w:cs="Times New Roman"/>
          <w:sz w:val="28"/>
          <w:szCs w:val="28"/>
          <w:lang w:eastAsia="ru-RU"/>
        </w:rPr>
      </w:pPr>
      <w:r w:rsidRPr="00F160F1">
        <w:rPr>
          <w:rFonts w:ascii="Times New Roman" w:eastAsia="Times New Roman" w:hAnsi="Times New Roman" w:cs="Times New Roman"/>
          <w:sz w:val="28"/>
          <w:szCs w:val="28"/>
          <w:lang w:eastAsia="ru-RU"/>
        </w:rPr>
        <w:t>Также в 2018 году привлечены средства федерального бюджета на создание в Камчатском крае Центра инноваций социальной сферы (далее - Центр).</w:t>
      </w:r>
    </w:p>
    <w:p w:rsidR="00BF16E8" w:rsidRPr="00C155CE" w:rsidRDefault="00BF16E8" w:rsidP="00BF16E8">
      <w:pPr>
        <w:widowControl w:val="0"/>
        <w:spacing w:after="0" w:line="240" w:lineRule="auto"/>
        <w:ind w:firstLine="709"/>
        <w:jc w:val="both"/>
        <w:rPr>
          <w:rFonts w:ascii="Times New Roman" w:eastAsia="Times New Roman" w:hAnsi="Times New Roman" w:cs="Times New Roman"/>
          <w:sz w:val="28"/>
          <w:szCs w:val="28"/>
          <w:lang w:eastAsia="ru-RU"/>
        </w:rPr>
      </w:pPr>
      <w:r w:rsidRPr="00F160F1">
        <w:rPr>
          <w:rFonts w:ascii="Times New Roman" w:eastAsia="Times New Roman" w:hAnsi="Times New Roman" w:cs="Times New Roman"/>
          <w:sz w:val="28"/>
          <w:szCs w:val="28"/>
          <w:lang w:eastAsia="ru-RU"/>
        </w:rPr>
        <w:lastRenderedPageBreak/>
        <w:t>Деятельность созданного Центра направлена на оказание информационно-аналитической, консультационной и организационной поддержки субъектам социального предпринимательства. Основные задачи и направления деятельности Центра описаны в п. 2.2.6 настоящего Доклада.</w:t>
      </w:r>
    </w:p>
    <w:p w:rsidR="008A75C9" w:rsidRDefault="00BF16E8"/>
    <w:sectPr w:rsidR="008A75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6E8" w:rsidRDefault="00BF16E8" w:rsidP="00BF16E8">
      <w:pPr>
        <w:spacing w:after="0" w:line="240" w:lineRule="auto"/>
      </w:pPr>
      <w:r>
        <w:separator/>
      </w:r>
    </w:p>
  </w:endnote>
  <w:endnote w:type="continuationSeparator" w:id="0">
    <w:p w:rsidR="00BF16E8" w:rsidRDefault="00BF16E8" w:rsidP="00BF1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6E8" w:rsidRDefault="00BF16E8" w:rsidP="00BF16E8">
      <w:pPr>
        <w:spacing w:after="0" w:line="240" w:lineRule="auto"/>
      </w:pPr>
      <w:r>
        <w:separator/>
      </w:r>
    </w:p>
  </w:footnote>
  <w:footnote w:type="continuationSeparator" w:id="0">
    <w:p w:rsidR="00BF16E8" w:rsidRDefault="00BF16E8" w:rsidP="00BF16E8">
      <w:pPr>
        <w:spacing w:after="0" w:line="240" w:lineRule="auto"/>
      </w:pPr>
      <w:r>
        <w:continuationSeparator/>
      </w:r>
    </w:p>
  </w:footnote>
  <w:footnote w:id="1">
    <w:p w:rsidR="00BF16E8" w:rsidRDefault="00BF16E8" w:rsidP="00BF16E8">
      <w:pPr>
        <w:pStyle w:val="a3"/>
      </w:pPr>
      <w:r>
        <w:rPr>
          <w:rStyle w:val="a5"/>
        </w:rPr>
        <w:footnoteRef/>
      </w:r>
      <w:r w:rsidRPr="005A39CD">
        <w:rPr>
          <w:rFonts w:ascii="Times New Roman" w:hAnsi="Times New Roman"/>
          <w:sz w:val="18"/>
          <w:szCs w:val="18"/>
        </w:rPr>
        <w:t>в сфере культуры</w:t>
      </w:r>
      <w:r>
        <w:rPr>
          <w:rFonts w:ascii="Times New Roman" w:hAnsi="Times New Roman"/>
          <w:sz w:val="18"/>
          <w:szCs w:val="18"/>
        </w:rPr>
        <w:t xml:space="preserve">, за исключением образовательной и кинопрокатной деятельности, лицензирование не требуется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44C4D"/>
    <w:multiLevelType w:val="hybridMultilevel"/>
    <w:tmpl w:val="B90A26D8"/>
    <w:lvl w:ilvl="0" w:tplc="0000000E">
      <w:numFmt w:val="bullet"/>
      <w:lvlText w:val="-"/>
      <w:lvlJc w:val="left"/>
      <w:pPr>
        <w:ind w:left="1429" w:hanging="360"/>
      </w:pPr>
      <w:rPr>
        <w:rFonts w:ascii="Times New Roman" w:hAnsi="Times New Roman" w:cs="Open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D7D4A06"/>
    <w:multiLevelType w:val="hybridMultilevel"/>
    <w:tmpl w:val="246CB168"/>
    <w:lvl w:ilvl="0" w:tplc="0000000E">
      <w:numFmt w:val="bullet"/>
      <w:lvlText w:val="-"/>
      <w:lvlJc w:val="left"/>
      <w:pPr>
        <w:ind w:left="1429" w:hanging="360"/>
      </w:pPr>
      <w:rPr>
        <w:rFonts w:ascii="Times New Roman" w:hAnsi="Times New Roman" w:cs="Open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507"/>
    <w:rsid w:val="00206E76"/>
    <w:rsid w:val="002D2507"/>
    <w:rsid w:val="00706CAD"/>
    <w:rsid w:val="008C0505"/>
    <w:rsid w:val="00BF16E8"/>
    <w:rsid w:val="00C44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A5181-0039-46DA-AB0B-4FE84524D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6E8"/>
    <w:pPr>
      <w:spacing w:after="200" w:line="276" w:lineRule="auto"/>
    </w:pPr>
  </w:style>
  <w:style w:type="paragraph" w:styleId="3">
    <w:name w:val="heading 3"/>
    <w:basedOn w:val="a"/>
    <w:next w:val="a"/>
    <w:link w:val="30"/>
    <w:uiPriority w:val="99"/>
    <w:unhideWhenUsed/>
    <w:qFormat/>
    <w:rsid w:val="00BF16E8"/>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BF16E8"/>
    <w:rPr>
      <w:rFonts w:asciiTheme="majorHAnsi" w:eastAsiaTheme="majorEastAsia" w:hAnsiTheme="majorHAnsi" w:cstheme="majorBidi"/>
      <w:b/>
      <w:bCs/>
      <w:color w:val="5B9BD5" w:themeColor="accent1"/>
    </w:rPr>
  </w:style>
  <w:style w:type="paragraph" w:styleId="a3">
    <w:name w:val="footnote text"/>
    <w:basedOn w:val="a"/>
    <w:link w:val="a4"/>
    <w:uiPriority w:val="99"/>
    <w:semiHidden/>
    <w:unhideWhenUsed/>
    <w:rsid w:val="00BF16E8"/>
    <w:pPr>
      <w:spacing w:after="0" w:line="240" w:lineRule="auto"/>
    </w:pPr>
    <w:rPr>
      <w:rFonts w:eastAsiaTheme="minorEastAsia"/>
      <w:sz w:val="20"/>
      <w:szCs w:val="20"/>
      <w:lang w:eastAsia="ru-RU"/>
    </w:rPr>
  </w:style>
  <w:style w:type="character" w:customStyle="1" w:styleId="a4">
    <w:name w:val="Текст сноски Знак"/>
    <w:basedOn w:val="a0"/>
    <w:link w:val="a3"/>
    <w:uiPriority w:val="99"/>
    <w:semiHidden/>
    <w:rsid w:val="00BF16E8"/>
    <w:rPr>
      <w:rFonts w:eastAsiaTheme="minorEastAsia"/>
      <w:sz w:val="20"/>
      <w:szCs w:val="20"/>
      <w:lang w:eastAsia="ru-RU"/>
    </w:rPr>
  </w:style>
  <w:style w:type="character" w:styleId="a5">
    <w:name w:val="footnote reference"/>
    <w:basedOn w:val="a0"/>
    <w:uiPriority w:val="99"/>
    <w:semiHidden/>
    <w:unhideWhenUsed/>
    <w:rsid w:val="00BF16E8"/>
    <w:rPr>
      <w:vertAlign w:val="superscript"/>
    </w:rPr>
  </w:style>
  <w:style w:type="table" w:customStyle="1" w:styleId="1">
    <w:name w:val="Сетка таблицы1"/>
    <w:basedOn w:val="a1"/>
    <w:next w:val="a6"/>
    <w:uiPriority w:val="59"/>
    <w:rsid w:val="00BF16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BF1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6198439241917504E-2"/>
          <c:y val="3.2653061224489799E-2"/>
          <c:w val="0.54375617763498629"/>
          <c:h val="0.90204081632653066"/>
        </c:manualLayout>
      </c:layout>
      <c:doughnutChart>
        <c:varyColors val="1"/>
        <c:ser>
          <c:idx val="0"/>
          <c:order val="0"/>
          <c:tx>
            <c:strRef>
              <c:f>Лист1!$B$1</c:f>
              <c:strCache>
                <c:ptCount val="1"/>
                <c:pt idx="0">
                  <c:v>%</c:v>
                </c:pt>
              </c:strCache>
            </c:strRef>
          </c:tx>
          <c:explosion val="1"/>
          <c:dPt>
            <c:idx val="0"/>
            <c:bubble3D val="0"/>
            <c:spPr>
              <a:solidFill>
                <a:srgbClr val="5705C9"/>
              </a:solidFill>
              <a:ln w="19050">
                <a:solidFill>
                  <a:schemeClr val="lt1"/>
                </a:solidFill>
              </a:ln>
              <a:effectLst/>
            </c:spPr>
          </c:dPt>
          <c:dPt>
            <c:idx val="1"/>
            <c:bubble3D val="0"/>
            <c:spPr>
              <a:solidFill>
                <a:srgbClr val="00B0F0"/>
              </a:solidFill>
              <a:ln w="19050">
                <a:solidFill>
                  <a:schemeClr val="lt1"/>
                </a:solidFill>
              </a:ln>
              <a:effectLst/>
            </c:spPr>
          </c:dPt>
          <c:dPt>
            <c:idx val="2"/>
            <c:bubble3D val="0"/>
            <c:spPr>
              <a:solidFill>
                <a:srgbClr val="C3DE00"/>
              </a:solidFill>
              <a:ln w="19050">
                <a:solidFill>
                  <a:schemeClr val="lt1"/>
                </a:solidFill>
              </a:ln>
              <a:effectLst/>
            </c:spPr>
          </c:dPt>
          <c:dPt>
            <c:idx val="3"/>
            <c:bubble3D val="0"/>
            <c:spPr>
              <a:solidFill>
                <a:srgbClr val="B916A5"/>
              </a:solidFill>
              <a:ln w="19050">
                <a:solidFill>
                  <a:schemeClr val="lt1"/>
                </a:solidFill>
              </a:ln>
              <a:effectLst/>
            </c:spPr>
          </c:dPt>
          <c:dPt>
            <c:idx val="4"/>
            <c:bubble3D val="0"/>
            <c:spPr>
              <a:solidFill>
                <a:schemeClr val="bg2">
                  <a:lumMod val="50000"/>
                </a:schemeClr>
              </a:solidFill>
              <a:ln w="19050">
                <a:solidFill>
                  <a:schemeClr val="lt1"/>
                </a:solidFill>
              </a:ln>
              <a:effectLst/>
            </c:spPr>
          </c:dPt>
          <c:dLbls>
            <c:dLbl>
              <c:idx val="2"/>
              <c:layout/>
              <c:tx>
                <c:rich>
                  <a:bodyPr/>
                  <a:lstStyle/>
                  <a:p>
                    <a:fld id="{3389F684-32B1-4926-8744-F413E94B6E80}" type="VALUE">
                      <a:rPr lang="en-US">
                        <a:solidFill>
                          <a:schemeClr val="bg2">
                            <a:lumMod val="50000"/>
                          </a:schemeClr>
                        </a:solidFill>
                      </a:rPr>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Лист1!$A$2:$A$6</c:f>
              <c:strCache>
                <c:ptCount val="5"/>
                <c:pt idx="0">
                  <c:v>Издание газет, журналов</c:v>
                </c:pt>
                <c:pt idx="1">
                  <c:v>Производство, демонстрация кинофильмов  </c:v>
                </c:pt>
                <c:pt idx="2">
                  <c:v>Фотография</c:v>
                </c:pt>
                <c:pt idx="3">
                  <c:v>Зрелищно-развлекательные услуги</c:v>
                </c:pt>
                <c:pt idx="4">
                  <c:v>Музеи и библиотеки</c:v>
                </c:pt>
              </c:strCache>
            </c:strRef>
          </c:cat>
          <c:val>
            <c:numRef>
              <c:f>Лист1!$B$2:$B$6</c:f>
              <c:numCache>
                <c:formatCode>General</c:formatCode>
                <c:ptCount val="5"/>
                <c:pt idx="0">
                  <c:v>20</c:v>
                </c:pt>
                <c:pt idx="1">
                  <c:v>18</c:v>
                </c:pt>
                <c:pt idx="2">
                  <c:v>48</c:v>
                </c:pt>
                <c:pt idx="3">
                  <c:v>120</c:v>
                </c:pt>
                <c:pt idx="4">
                  <c:v>6</c:v>
                </c:pt>
              </c:numCache>
            </c:numRef>
          </c:val>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b"/>
      <c:legendEntry>
        <c:idx val="0"/>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egendEntry>
        <c:idx val="2"/>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egendEntry>
        <c:idx val="3"/>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egendEntry>
        <c:idx val="4"/>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0.54587691714254571"/>
          <c:y val="4.2473083721677657E-2"/>
          <c:w val="0.43535324058933528"/>
          <c:h val="0.8643297444962238"/>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chemeClr val="tx1">
                    <a:lumMod val="65000"/>
                    <a:lumOff val="35000"/>
                  </a:schemeClr>
                </a:solidFill>
                <a:latin typeface="+mn-lt"/>
                <a:ea typeface="+mn-ea"/>
                <a:cs typeface="+mn-cs"/>
              </a:defRPr>
            </a:pPr>
            <a:r>
              <a:rPr lang="ru-RU" sz="1050" b="1" i="0" u="none" strike="noStrike" baseline="0">
                <a:effectLst/>
              </a:rPr>
              <a:t>Оценка населением количества организаций, </a:t>
            </a:r>
          </a:p>
          <a:p>
            <a:pPr>
              <a:defRPr sz="1050" b="1" i="0" u="none" strike="noStrike" kern="1200" spc="0" baseline="0">
                <a:solidFill>
                  <a:schemeClr val="tx1">
                    <a:lumMod val="65000"/>
                    <a:lumOff val="35000"/>
                  </a:schemeClr>
                </a:solidFill>
                <a:latin typeface="+mn-lt"/>
                <a:ea typeface="+mn-ea"/>
                <a:cs typeface="+mn-cs"/>
              </a:defRPr>
            </a:pPr>
            <a:r>
              <a:rPr lang="ru-RU" sz="1050" b="1" i="0" u="none" strike="noStrike" baseline="0">
                <a:effectLst/>
              </a:rPr>
              <a:t>предоставляющих товары и услуги на рынках Камчатского края, %</a:t>
            </a:r>
          </a:p>
          <a:p>
            <a:pPr>
              <a:defRPr sz="1050" b="1" i="0" u="none" strike="noStrike" kern="1200" spc="0" baseline="0">
                <a:solidFill>
                  <a:schemeClr val="tx1">
                    <a:lumMod val="65000"/>
                    <a:lumOff val="35000"/>
                  </a:schemeClr>
                </a:solidFill>
                <a:latin typeface="+mn-lt"/>
                <a:ea typeface="+mn-ea"/>
                <a:cs typeface="+mn-cs"/>
              </a:defRPr>
            </a:pPr>
            <a:endParaRPr lang="ru-RU" sz="1050" b="1">
              <a:solidFill>
                <a:schemeClr val="tx1">
                  <a:lumMod val="65000"/>
                  <a:lumOff val="35000"/>
                </a:schemeClr>
              </a:solidFill>
            </a:endParaRPr>
          </a:p>
        </c:rich>
      </c:tx>
      <c:layout/>
      <c:overlay val="0"/>
      <c:spPr>
        <a:noFill/>
        <a:ln>
          <a:noFill/>
        </a:ln>
        <a:effectLst/>
      </c:spPr>
    </c:title>
    <c:autoTitleDeleted val="0"/>
    <c:plotArea>
      <c:layout/>
      <c:barChart>
        <c:barDir val="col"/>
        <c:grouping val="clustered"/>
        <c:varyColors val="0"/>
        <c:ser>
          <c:idx val="0"/>
          <c:order val="0"/>
          <c:tx>
            <c:strRef>
              <c:f>Лист1!$B$1</c:f>
              <c:strCache>
                <c:ptCount val="1"/>
                <c:pt idx="0">
                  <c:v>Ряд 1</c:v>
                </c:pt>
              </c:strCache>
            </c:strRef>
          </c:tx>
          <c:spPr>
            <a:solidFill>
              <a:srgbClr val="C3DE50"/>
            </a:solidFill>
            <a:ln>
              <a:noFill/>
            </a:ln>
            <a:effectLst/>
          </c:spPr>
          <c:invertIfNegative val="0"/>
          <c:dLbls>
            <c:dLbl>
              <c:idx val="0"/>
              <c:layout/>
              <c:showLegendKey val="0"/>
              <c:showVal val="1"/>
              <c:showCatName val="0"/>
              <c:showSerName val="0"/>
              <c:showPercent val="0"/>
              <c:showBubbleSize val="0"/>
              <c:extLst>
                <c:ext xmlns:c15="http://schemas.microsoft.com/office/drawing/2012/chart" uri="{CE6537A1-D6FC-4f65-9D91-7224C49458BB}">
                  <c15:layout/>
                </c:ext>
              </c:extLst>
            </c:dLbl>
            <c:dLbl>
              <c:idx val="1"/>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Лист1!$A$2:$A$3</c:f>
              <c:numCache>
                <c:formatCode>General</c:formatCode>
                <c:ptCount val="2"/>
                <c:pt idx="0">
                  <c:v>2017</c:v>
                </c:pt>
                <c:pt idx="1">
                  <c:v>2018</c:v>
                </c:pt>
              </c:numCache>
            </c:numRef>
          </c:cat>
          <c:val>
            <c:numRef>
              <c:f>Лист1!$B$2:$B$3</c:f>
              <c:numCache>
                <c:formatCode>0.00%</c:formatCode>
                <c:ptCount val="2"/>
                <c:pt idx="0">
                  <c:v>0.30299999999999999</c:v>
                </c:pt>
                <c:pt idx="1">
                  <c:v>0.35699999999999998</c:v>
                </c:pt>
              </c:numCache>
            </c:numRef>
          </c:val>
        </c:ser>
        <c:dLbls>
          <c:showLegendKey val="0"/>
          <c:showVal val="0"/>
          <c:showCatName val="0"/>
          <c:showSerName val="0"/>
          <c:showPercent val="0"/>
          <c:showBubbleSize val="0"/>
        </c:dLbls>
        <c:gapWidth val="219"/>
        <c:overlap val="-27"/>
        <c:axId val="556017608"/>
        <c:axId val="556018000"/>
      </c:barChart>
      <c:catAx>
        <c:axId val="556017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6018000"/>
        <c:crosses val="autoZero"/>
        <c:auto val="1"/>
        <c:lblAlgn val="ctr"/>
        <c:lblOffset val="100"/>
        <c:noMultiLvlLbl val="0"/>
      </c:catAx>
      <c:valAx>
        <c:axId val="556018000"/>
        <c:scaling>
          <c:orientation val="minMax"/>
        </c:scaling>
        <c:delete val="0"/>
        <c:axPos val="l"/>
        <c:majorGridlines>
          <c:spPr>
            <a:ln w="3175" cap="flat" cmpd="sng" algn="ctr">
              <a:solidFill>
                <a:schemeClr val="bg2">
                  <a:lumMod val="9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ru-RU"/>
          </a:p>
        </c:txPr>
        <c:crossAx val="556017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chemeClr val="tx1">
                    <a:lumMod val="65000"/>
                    <a:lumOff val="35000"/>
                  </a:schemeClr>
                </a:solidFill>
                <a:latin typeface="+mn-lt"/>
                <a:ea typeface="+mn-ea"/>
                <a:cs typeface="+mn-cs"/>
              </a:defRPr>
            </a:pPr>
            <a:r>
              <a:rPr lang="ru-RU" sz="1050" b="1" i="0" u="none" strike="noStrike" baseline="0">
                <a:effectLst/>
              </a:rPr>
              <a:t>Оценка удовлетворенности населением количества организаций, </a:t>
            </a:r>
          </a:p>
          <a:p>
            <a:pPr>
              <a:defRPr sz="1050" b="1" i="0" u="none" strike="noStrike" kern="1200" spc="0" baseline="0">
                <a:solidFill>
                  <a:schemeClr val="tx1">
                    <a:lumMod val="65000"/>
                    <a:lumOff val="35000"/>
                  </a:schemeClr>
                </a:solidFill>
                <a:latin typeface="+mn-lt"/>
                <a:ea typeface="+mn-ea"/>
                <a:cs typeface="+mn-cs"/>
              </a:defRPr>
            </a:pPr>
            <a:r>
              <a:rPr lang="ru-RU" sz="1050" b="1" i="0" u="none" strike="noStrike" baseline="0">
                <a:effectLst/>
              </a:rPr>
              <a:t>предоставляющих товары и услуги на рынках Камчатского края, %</a:t>
            </a:r>
          </a:p>
          <a:p>
            <a:pPr>
              <a:defRPr sz="1050" b="1" i="0" u="none" strike="noStrike" kern="1200" spc="0" baseline="0">
                <a:solidFill>
                  <a:schemeClr val="tx1">
                    <a:lumMod val="65000"/>
                    <a:lumOff val="35000"/>
                  </a:schemeClr>
                </a:solidFill>
                <a:latin typeface="+mn-lt"/>
                <a:ea typeface="+mn-ea"/>
                <a:cs typeface="+mn-cs"/>
              </a:defRPr>
            </a:pPr>
            <a:endParaRPr lang="ru-RU" sz="1050" b="1">
              <a:solidFill>
                <a:schemeClr val="tx1">
                  <a:lumMod val="65000"/>
                  <a:lumOff val="35000"/>
                </a:schemeClr>
              </a:solidFill>
            </a:endParaRPr>
          </a:p>
        </c:rich>
      </c:tx>
      <c:layout/>
      <c:overlay val="0"/>
      <c:spPr>
        <a:noFill/>
        <a:ln>
          <a:noFill/>
        </a:ln>
        <a:effectLst/>
      </c:spPr>
    </c:title>
    <c:autoTitleDeleted val="0"/>
    <c:plotArea>
      <c:layout/>
      <c:barChart>
        <c:barDir val="col"/>
        <c:grouping val="clustered"/>
        <c:varyColors val="0"/>
        <c:ser>
          <c:idx val="0"/>
          <c:order val="0"/>
          <c:tx>
            <c:strRef>
              <c:f>Лист1!$B$1</c:f>
              <c:strCache>
                <c:ptCount val="1"/>
                <c:pt idx="0">
                  <c:v>Ряд 1</c:v>
                </c:pt>
              </c:strCache>
            </c:strRef>
          </c:tx>
          <c:spPr>
            <a:solidFill>
              <a:srgbClr val="C3DE50"/>
            </a:solidFill>
            <a:ln>
              <a:noFill/>
            </a:ln>
            <a:effectLst/>
          </c:spPr>
          <c:invertIfNegative val="0"/>
          <c:dLbls>
            <c:dLbl>
              <c:idx val="0"/>
              <c:layout/>
              <c:showLegendKey val="0"/>
              <c:showVal val="1"/>
              <c:showCatName val="0"/>
              <c:showSerName val="0"/>
              <c:showPercent val="0"/>
              <c:showBubbleSize val="0"/>
              <c:extLst>
                <c:ext xmlns:c15="http://schemas.microsoft.com/office/drawing/2012/chart" uri="{CE6537A1-D6FC-4f65-9D91-7224C49458BB}">
                  <c15:layout/>
                </c:ext>
              </c:extLst>
            </c:dLbl>
            <c:dLbl>
              <c:idx val="1"/>
              <c:layout/>
              <c:showLegendKey val="0"/>
              <c:showVal val="1"/>
              <c:showCatName val="0"/>
              <c:showSerName val="0"/>
              <c:showPercent val="0"/>
              <c:showBubbleSize val="0"/>
              <c:extLst>
                <c:ext xmlns:c15="http://schemas.microsoft.com/office/drawing/2012/chart" uri="{CE6537A1-D6FC-4f65-9D91-7224C49458BB}">
                  <c15:layout/>
                </c:ext>
              </c:extLst>
            </c:dLbl>
            <c:dLbl>
              <c:idx val="2"/>
              <c:layout/>
              <c:showLegendKey val="0"/>
              <c:showVal val="1"/>
              <c:showCatName val="0"/>
              <c:showSerName val="0"/>
              <c:showPercent val="0"/>
              <c:showBubbleSize val="0"/>
              <c:extLst>
                <c:ext xmlns:c15="http://schemas.microsoft.com/office/drawing/2012/chart" uri="{CE6537A1-D6FC-4f65-9D91-7224C49458BB}">
                  <c15:layout/>
                </c:ext>
              </c:extLst>
            </c:dLbl>
            <c:dLbl>
              <c:idx val="3"/>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2015</c:v>
                </c:pt>
                <c:pt idx="1">
                  <c:v>2016</c:v>
                </c:pt>
                <c:pt idx="2">
                  <c:v>2017</c:v>
                </c:pt>
                <c:pt idx="3">
                  <c:v>2018</c:v>
                </c:pt>
              </c:numCache>
            </c:numRef>
          </c:cat>
          <c:val>
            <c:numRef>
              <c:f>Лист1!$B$2:$B$5</c:f>
              <c:numCache>
                <c:formatCode>0.00%</c:formatCode>
                <c:ptCount val="4"/>
                <c:pt idx="0">
                  <c:v>0.27800000000000002</c:v>
                </c:pt>
                <c:pt idx="1">
                  <c:v>0.29899999999999999</c:v>
                </c:pt>
                <c:pt idx="2">
                  <c:v>0.30099999999999999</c:v>
                </c:pt>
                <c:pt idx="3">
                  <c:v>0.34699999999999998</c:v>
                </c:pt>
              </c:numCache>
            </c:numRef>
          </c:val>
        </c:ser>
        <c:dLbls>
          <c:showLegendKey val="0"/>
          <c:showVal val="0"/>
          <c:showCatName val="0"/>
          <c:showSerName val="0"/>
          <c:showPercent val="0"/>
          <c:showBubbleSize val="0"/>
        </c:dLbls>
        <c:gapWidth val="219"/>
        <c:overlap val="-27"/>
        <c:axId val="556016432"/>
        <c:axId val="556018784"/>
      </c:barChart>
      <c:catAx>
        <c:axId val="556016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6018784"/>
        <c:crosses val="autoZero"/>
        <c:auto val="1"/>
        <c:lblAlgn val="ctr"/>
        <c:lblOffset val="100"/>
        <c:noMultiLvlLbl val="0"/>
      </c:catAx>
      <c:valAx>
        <c:axId val="556018784"/>
        <c:scaling>
          <c:orientation val="minMax"/>
        </c:scaling>
        <c:delete val="0"/>
        <c:axPos val="l"/>
        <c:majorGridlines>
          <c:spPr>
            <a:ln w="3175" cap="flat" cmpd="sng" algn="ctr">
              <a:solidFill>
                <a:schemeClr val="bg2">
                  <a:lumMod val="9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ru-RU"/>
          </a:p>
        </c:txPr>
        <c:crossAx val="556016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chemeClr val="tx1">
                    <a:lumMod val="65000"/>
                    <a:lumOff val="35000"/>
                  </a:schemeClr>
                </a:solidFill>
                <a:latin typeface="+mn-lt"/>
                <a:ea typeface="+mn-ea"/>
                <a:cs typeface="+mn-cs"/>
              </a:defRPr>
            </a:pPr>
            <a:r>
              <a:rPr lang="ru-RU" sz="1050" b="1" i="0" u="none" strike="noStrike" baseline="0">
                <a:effectLst/>
              </a:rPr>
              <a:t>Оценка удовлетворенности населения ценами на товары и услуги, %</a:t>
            </a:r>
            <a:endParaRPr lang="ru-RU" sz="1050" b="1">
              <a:solidFill>
                <a:schemeClr val="tx1">
                  <a:lumMod val="65000"/>
                  <a:lumOff val="35000"/>
                </a:schemeClr>
              </a:solidFill>
            </a:endParaRPr>
          </a:p>
        </c:rich>
      </c:tx>
      <c:layout/>
      <c:overlay val="0"/>
      <c:spPr>
        <a:noFill/>
        <a:ln>
          <a:noFill/>
        </a:ln>
        <a:effectLst/>
      </c:spPr>
    </c:title>
    <c:autoTitleDeleted val="0"/>
    <c:plotArea>
      <c:layout/>
      <c:barChart>
        <c:barDir val="col"/>
        <c:grouping val="clustered"/>
        <c:varyColors val="0"/>
        <c:ser>
          <c:idx val="0"/>
          <c:order val="0"/>
          <c:tx>
            <c:strRef>
              <c:f>Лист1!$B$1</c:f>
              <c:strCache>
                <c:ptCount val="1"/>
                <c:pt idx="0">
                  <c:v>Ряд 1</c:v>
                </c:pt>
              </c:strCache>
            </c:strRef>
          </c:tx>
          <c:spPr>
            <a:solidFill>
              <a:srgbClr val="C3DE50"/>
            </a:solidFill>
            <a:ln>
              <a:noFill/>
            </a:ln>
            <a:effectLst/>
          </c:spPr>
          <c:invertIfNegative val="0"/>
          <c:dLbls>
            <c:dLbl>
              <c:idx val="0"/>
              <c:layout/>
              <c:showLegendKey val="0"/>
              <c:showVal val="1"/>
              <c:showCatName val="0"/>
              <c:showSerName val="0"/>
              <c:showPercent val="0"/>
              <c:showBubbleSize val="0"/>
              <c:extLst>
                <c:ext xmlns:c15="http://schemas.microsoft.com/office/drawing/2012/chart" uri="{CE6537A1-D6FC-4f65-9D91-7224C49458BB}">
                  <c15:layout/>
                </c:ext>
              </c:extLst>
            </c:dLbl>
            <c:dLbl>
              <c:idx val="1"/>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Лист1!$A$2:$A$3</c:f>
              <c:numCache>
                <c:formatCode>General</c:formatCode>
                <c:ptCount val="2"/>
                <c:pt idx="0">
                  <c:v>2017</c:v>
                </c:pt>
                <c:pt idx="1">
                  <c:v>2018</c:v>
                </c:pt>
              </c:numCache>
            </c:numRef>
          </c:cat>
          <c:val>
            <c:numRef>
              <c:f>Лист1!$B$2:$B$3</c:f>
              <c:numCache>
                <c:formatCode>0.00%</c:formatCode>
                <c:ptCount val="2"/>
                <c:pt idx="0">
                  <c:v>0.27300000000000002</c:v>
                </c:pt>
                <c:pt idx="1">
                  <c:v>0.35099999999999998</c:v>
                </c:pt>
              </c:numCache>
            </c:numRef>
          </c:val>
        </c:ser>
        <c:dLbls>
          <c:showLegendKey val="0"/>
          <c:showVal val="0"/>
          <c:showCatName val="0"/>
          <c:showSerName val="0"/>
          <c:showPercent val="0"/>
          <c:showBubbleSize val="0"/>
        </c:dLbls>
        <c:gapWidth val="219"/>
        <c:overlap val="-27"/>
        <c:axId val="556019568"/>
        <c:axId val="556019960"/>
      </c:barChart>
      <c:catAx>
        <c:axId val="556019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6019960"/>
        <c:crosses val="autoZero"/>
        <c:auto val="1"/>
        <c:lblAlgn val="ctr"/>
        <c:lblOffset val="100"/>
        <c:noMultiLvlLbl val="0"/>
      </c:catAx>
      <c:valAx>
        <c:axId val="556019960"/>
        <c:scaling>
          <c:orientation val="minMax"/>
        </c:scaling>
        <c:delete val="0"/>
        <c:axPos val="l"/>
        <c:majorGridlines>
          <c:spPr>
            <a:ln w="3175" cap="flat" cmpd="sng" algn="ctr">
              <a:solidFill>
                <a:schemeClr val="bg2">
                  <a:lumMod val="9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ru-RU"/>
          </a:p>
        </c:txPr>
        <c:crossAx val="556019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chemeClr val="tx1">
                    <a:lumMod val="65000"/>
                    <a:lumOff val="35000"/>
                  </a:schemeClr>
                </a:solidFill>
                <a:latin typeface="+mn-lt"/>
                <a:ea typeface="+mn-ea"/>
                <a:cs typeface="+mn-cs"/>
              </a:defRPr>
            </a:pPr>
            <a:r>
              <a:rPr lang="ru-RU" sz="1050" b="1" i="0" u="none" strike="noStrike" baseline="0">
                <a:effectLst/>
              </a:rPr>
              <a:t>Динамика оценок населением по уровню неудовлетворенности ценами, (доли респондентов, %)</a:t>
            </a:r>
            <a:endParaRPr lang="ru-RU" sz="1050" b="1">
              <a:solidFill>
                <a:schemeClr val="tx1">
                  <a:lumMod val="65000"/>
                  <a:lumOff val="35000"/>
                </a:schemeClr>
              </a:solidFill>
            </a:endParaRPr>
          </a:p>
        </c:rich>
      </c:tx>
      <c:layout/>
      <c:overlay val="0"/>
      <c:spPr>
        <a:noFill/>
        <a:ln>
          <a:noFill/>
        </a:ln>
        <a:effectLst/>
      </c:spPr>
    </c:title>
    <c:autoTitleDeleted val="0"/>
    <c:plotArea>
      <c:layout/>
      <c:barChart>
        <c:barDir val="col"/>
        <c:grouping val="clustered"/>
        <c:varyColors val="0"/>
        <c:ser>
          <c:idx val="0"/>
          <c:order val="0"/>
          <c:tx>
            <c:strRef>
              <c:f>Лист1!$B$1</c:f>
              <c:strCache>
                <c:ptCount val="1"/>
                <c:pt idx="0">
                  <c:v>Ряд 1</c:v>
                </c:pt>
              </c:strCache>
            </c:strRef>
          </c:tx>
          <c:spPr>
            <a:solidFill>
              <a:srgbClr val="C3DE50"/>
            </a:solidFill>
            <a:ln>
              <a:noFill/>
            </a:ln>
            <a:effectLst/>
          </c:spPr>
          <c:invertIfNegative val="0"/>
          <c:dLbls>
            <c:dLbl>
              <c:idx val="0"/>
              <c:layout/>
              <c:showLegendKey val="0"/>
              <c:showVal val="1"/>
              <c:showCatName val="0"/>
              <c:showSerName val="0"/>
              <c:showPercent val="0"/>
              <c:showBubbleSize val="0"/>
              <c:extLst>
                <c:ext xmlns:c15="http://schemas.microsoft.com/office/drawing/2012/chart" uri="{CE6537A1-D6FC-4f65-9D91-7224C49458BB}">
                  <c15:layout/>
                </c:ext>
              </c:extLst>
            </c:dLbl>
            <c:dLbl>
              <c:idx val="1"/>
              <c:layout/>
              <c:showLegendKey val="0"/>
              <c:showVal val="1"/>
              <c:showCatName val="0"/>
              <c:showSerName val="0"/>
              <c:showPercent val="0"/>
              <c:showBubbleSize val="0"/>
              <c:extLst>
                <c:ext xmlns:c15="http://schemas.microsoft.com/office/drawing/2012/chart" uri="{CE6537A1-D6FC-4f65-9D91-7224C49458BB}">
                  <c15:layout/>
                </c:ext>
              </c:extLst>
            </c:dLbl>
            <c:dLbl>
              <c:idx val="2"/>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2016</c:v>
                </c:pt>
                <c:pt idx="1">
                  <c:v>2017</c:v>
                </c:pt>
                <c:pt idx="2">
                  <c:v>2018</c:v>
                </c:pt>
              </c:numCache>
            </c:numRef>
          </c:cat>
          <c:val>
            <c:numRef>
              <c:f>Лист1!$B$2:$B$4</c:f>
              <c:numCache>
                <c:formatCode>0.00%</c:formatCode>
                <c:ptCount val="3"/>
                <c:pt idx="0">
                  <c:v>0.60299999999999998</c:v>
                </c:pt>
                <c:pt idx="1">
                  <c:v>0.56299999999999994</c:v>
                </c:pt>
                <c:pt idx="2">
                  <c:v>0.50700000000000001</c:v>
                </c:pt>
              </c:numCache>
            </c:numRef>
          </c:val>
        </c:ser>
        <c:dLbls>
          <c:showLegendKey val="0"/>
          <c:showVal val="0"/>
          <c:showCatName val="0"/>
          <c:showSerName val="0"/>
          <c:showPercent val="0"/>
          <c:showBubbleSize val="0"/>
        </c:dLbls>
        <c:gapWidth val="219"/>
        <c:overlap val="-27"/>
        <c:axId val="551375456"/>
        <c:axId val="551375848"/>
      </c:barChart>
      <c:catAx>
        <c:axId val="551375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1375848"/>
        <c:crosses val="autoZero"/>
        <c:auto val="1"/>
        <c:lblAlgn val="ctr"/>
        <c:lblOffset val="100"/>
        <c:noMultiLvlLbl val="0"/>
      </c:catAx>
      <c:valAx>
        <c:axId val="551375848"/>
        <c:scaling>
          <c:orientation val="minMax"/>
        </c:scaling>
        <c:delete val="0"/>
        <c:axPos val="l"/>
        <c:majorGridlines>
          <c:spPr>
            <a:ln w="3175" cap="flat" cmpd="sng" algn="ctr">
              <a:solidFill>
                <a:schemeClr val="bg1">
                  <a:lumMod val="9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ru-RU"/>
          </a:p>
        </c:txPr>
        <c:crossAx val="551375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chemeClr val="tx1">
                    <a:lumMod val="65000"/>
                    <a:lumOff val="35000"/>
                  </a:schemeClr>
                </a:solidFill>
                <a:latin typeface="+mn-lt"/>
                <a:ea typeface="+mn-ea"/>
                <a:cs typeface="+mn-cs"/>
              </a:defRPr>
            </a:pPr>
            <a:r>
              <a:rPr lang="ru-RU" sz="1050" b="1" i="0" u="none" strike="noStrike" baseline="0">
                <a:solidFill>
                  <a:schemeClr val="tx1">
                    <a:lumMod val="65000"/>
                    <a:lumOff val="35000"/>
                  </a:schemeClr>
                </a:solidFill>
                <a:effectLst/>
              </a:rPr>
              <a:t>Динамика оценок населением уровня удовлетворенности качеством товаров и услуг (доли респондентов, %)</a:t>
            </a:r>
            <a:endParaRPr lang="ru-RU" sz="1050" b="1">
              <a:solidFill>
                <a:schemeClr val="tx1">
                  <a:lumMod val="65000"/>
                  <a:lumOff val="35000"/>
                </a:schemeClr>
              </a:solidFill>
            </a:endParaRPr>
          </a:p>
        </c:rich>
      </c:tx>
      <c:layout>
        <c:manualLayout>
          <c:xMode val="edge"/>
          <c:yMode val="edge"/>
          <c:x val="0.13775082690187432"/>
          <c:y val="2.0161290322580645E-2"/>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Ряд 1</c:v>
                </c:pt>
              </c:strCache>
            </c:strRef>
          </c:tx>
          <c:spPr>
            <a:solidFill>
              <a:srgbClr val="C3DE50"/>
            </a:solidFill>
            <a:ln>
              <a:noFill/>
            </a:ln>
            <a:effectLst/>
          </c:spPr>
          <c:invertIfNegative val="0"/>
          <c:dLbls>
            <c:dLbl>
              <c:idx val="0"/>
              <c:layout/>
              <c:showLegendKey val="0"/>
              <c:showVal val="1"/>
              <c:showCatName val="0"/>
              <c:showSerName val="0"/>
              <c:showPercent val="0"/>
              <c:showBubbleSize val="0"/>
              <c:extLst>
                <c:ext xmlns:c15="http://schemas.microsoft.com/office/drawing/2012/chart" uri="{CE6537A1-D6FC-4f65-9D91-7224C49458BB}">
                  <c15:layout/>
                </c:ext>
              </c:extLst>
            </c:dLbl>
            <c:dLbl>
              <c:idx val="1"/>
              <c:layout/>
              <c:showLegendKey val="0"/>
              <c:showVal val="1"/>
              <c:showCatName val="0"/>
              <c:showSerName val="0"/>
              <c:showPercent val="0"/>
              <c:showBubbleSize val="0"/>
              <c:extLst>
                <c:ext xmlns:c15="http://schemas.microsoft.com/office/drawing/2012/chart" uri="{CE6537A1-D6FC-4f65-9D91-7224C49458BB}">
                  <c15:layout/>
                </c:ext>
              </c:extLst>
            </c:dLbl>
            <c:dLbl>
              <c:idx val="2"/>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2016</c:v>
                </c:pt>
                <c:pt idx="1">
                  <c:v>2017</c:v>
                </c:pt>
                <c:pt idx="2">
                  <c:v>2018</c:v>
                </c:pt>
              </c:numCache>
            </c:numRef>
          </c:cat>
          <c:val>
            <c:numRef>
              <c:f>Лист1!$B$2:$B$4</c:f>
              <c:numCache>
                <c:formatCode>0.00%</c:formatCode>
                <c:ptCount val="3"/>
                <c:pt idx="0">
                  <c:v>0.28799999999999998</c:v>
                </c:pt>
                <c:pt idx="1">
                  <c:v>0.33300000000000002</c:v>
                </c:pt>
                <c:pt idx="2">
                  <c:v>0.41499999999999998</c:v>
                </c:pt>
              </c:numCache>
            </c:numRef>
          </c:val>
        </c:ser>
        <c:dLbls>
          <c:showLegendKey val="0"/>
          <c:showVal val="0"/>
          <c:showCatName val="0"/>
          <c:showSerName val="0"/>
          <c:showPercent val="0"/>
          <c:showBubbleSize val="0"/>
        </c:dLbls>
        <c:gapWidth val="219"/>
        <c:overlap val="-27"/>
        <c:axId val="551376632"/>
        <c:axId val="551377024"/>
      </c:barChart>
      <c:catAx>
        <c:axId val="551376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1377024"/>
        <c:crosses val="autoZero"/>
        <c:auto val="1"/>
        <c:lblAlgn val="ctr"/>
        <c:lblOffset val="100"/>
        <c:noMultiLvlLbl val="0"/>
      </c:catAx>
      <c:valAx>
        <c:axId val="551377024"/>
        <c:scaling>
          <c:orientation val="minMax"/>
        </c:scaling>
        <c:delete val="0"/>
        <c:axPos val="l"/>
        <c:majorGridlines>
          <c:spPr>
            <a:ln w="3175" cap="flat" cmpd="sng" algn="ctr">
              <a:solidFill>
                <a:schemeClr val="bg1">
                  <a:lumMod val="9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ru-RU"/>
          </a:p>
        </c:txPr>
        <c:crossAx val="551376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3317</Words>
  <Characters>18912</Characters>
  <Application>Microsoft Office Word</Application>
  <DocSecurity>0</DocSecurity>
  <Lines>157</Lines>
  <Paragraphs>44</Paragraphs>
  <ScaleCrop>false</ScaleCrop>
  <Company/>
  <LinksUpToDate>false</LinksUpToDate>
  <CharactersWithSpaces>22185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Бароненко Дарья Олеговна</dc:creator>
  <cp:keywords/>
  <dc:description/>
  <cp:lastModifiedBy>Бароненко Дарья Олеговна</cp:lastModifiedBy>
  <cp:revision>2</cp:revision>
  <dcterms:created xsi:type="dcterms:W3CDTF">2019-03-28T04:14:00Z</dcterms:created>
  <dcterms:modified xsi:type="dcterms:W3CDTF">2019-03-28T04:15:00Z</dcterms:modified>
</cp:coreProperties>
</file>