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Pr="00572F55" w:rsidRDefault="0025067A" w:rsidP="00572F55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2F2EC6" w:rsidRPr="00572F55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Ф</w:t>
      </w:r>
      <w:r w:rsidR="00FE3142" w:rsidRPr="00572F55">
        <w:rPr>
          <w:rFonts w:ascii="Times New Roman" w:hAnsi="Times New Roman" w:cs="Times New Roman"/>
          <w:sz w:val="24"/>
          <w:szCs w:val="24"/>
        </w:rPr>
        <w:t>орма</w:t>
      </w:r>
    </w:p>
    <w:p w:rsidR="002F2EC6" w:rsidRPr="00572F55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572F55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572F55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572F55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572F55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572F55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со средней </w:t>
      </w:r>
      <w:r w:rsidR="002F2EC6" w:rsidRPr="00572F55">
        <w:rPr>
          <w:rFonts w:ascii="Times New Roman" w:hAnsi="Times New Roman" w:cs="Times New Roman"/>
          <w:sz w:val="24"/>
          <w:szCs w:val="24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154FE2" w:rsidRPr="00572F55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154FE2" w:rsidRPr="00572F55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72F55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72F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72F55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2F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01/02/02-18/00006267</w:t>
                  </w:r>
                </w:p>
              </w:tc>
            </w:tr>
            <w:tr w:rsidR="00154FE2" w:rsidRPr="00572F55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72F55" w:rsidRDefault="00154FE2" w:rsidP="00B70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572F55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CB2BAF" w:rsidRPr="00572F55" w:rsidTr="00CB2BAF">
        <w:trPr>
          <w:trHeight w:val="158"/>
        </w:trPr>
        <w:tc>
          <w:tcPr>
            <w:tcW w:w="1692" w:type="pct"/>
            <w:vMerge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F" w:rsidRDefault="00CB2BAF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</w:tr>
      <w:tr w:rsidR="00CB2BAF" w:rsidRPr="00572F55" w:rsidTr="00CB2BAF">
        <w:trPr>
          <w:trHeight w:val="157"/>
        </w:trPr>
        <w:tc>
          <w:tcPr>
            <w:tcW w:w="1692" w:type="pct"/>
            <w:vMerge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F" w:rsidRDefault="00CB2BAF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</w:tbl>
    <w:p w:rsidR="003319D0" w:rsidRPr="00572F55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154FE2" w:rsidRPr="00572F55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154FE2" w:rsidRPr="00572F55" w:rsidRDefault="00CB2BAF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Иные исполнительные органы государственной власти Камчатского края к разработке проекта приказа не привлекались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54FE2" w:rsidRPr="00572F55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AB1" w:rsidRPr="00E07AB1">
              <w:rPr>
                <w:rFonts w:ascii="Times New Roman" w:hAnsi="Times New Roman" w:cs="Times New Roman"/>
                <w:sz w:val="24"/>
                <w:szCs w:val="24"/>
              </w:rPr>
              <w:t>риказ Агентства инвестиций и предпринимательства Камчатского края</w:t>
            </w:r>
            <w:r w:rsidR="00E07A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приказу Агентства инвестиций и пред-принимательства Камчатского края от 14.03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 45-п «Об утверждении по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субъек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малого и среднего предпринима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тельства в целях финансирования части затрат, связанных с созданием и (или)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тием групп дневного времяпрепро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вождения детей дошкольного возраста»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54FE2" w:rsidRPr="00572F55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По результатам внутренней проверки выявлены замечания правового и юридико-технического характера. А также в целях развития и поддержки субъектов малого и сроеднего предпринимательства в соотвествии с государственной программой Камчатского края «Развитие экономики и внешнеэкономической деятельности Камчатского края», утвержденой постановлением Правительства Камчатского края от 29.11.2013 № 521-П и Бюджетным кодексом Российской Федерации от 31 июля 1998 г. N 145-ФЗ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акта:: </w:t>
            </w:r>
          </w:p>
          <w:p w:rsidR="00154FE2" w:rsidRPr="00572F55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г. N 145-ФЗ  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154FE2" w:rsidRPr="00572F55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исключения возникновения негативных правовых последствий. Приведение в соответствие с требованиями действующего законодательства Российской федерации. 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деятельности. Создание благоприятных условий для осуществления субъектами малого и среднего предпринимательства в Камчатском крае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CB2BAF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Проект приказа предусматривает положения, которыми вносятся следующие изменения:</w:t>
            </w:r>
          </w:p>
          <w:p w:rsidR="00CB2BAF" w:rsidRPr="00CB2BAF" w:rsidRDefault="00CB2BAF" w:rsidP="00CB2B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ч.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после слов «электроснабжения нежилого помещения» дополн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словами «сроком не более 6 месяцев»;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 xml:space="preserve"> в ч. 2 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1 слова «(не более 30% от размера получаемой субсидии) исключ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2 слова «, но не более 30% от размера получаемой субсидии» исключ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BAF" w:rsidRPr="00CB2BAF" w:rsidRDefault="00740D78" w:rsidP="00CB2B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B2BAF"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B2BAF"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B2BAF"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4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="00CB2BAF"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слолво</w:t>
            </w:r>
            <w:r w:rsidR="00CB2BAF"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«федерального» на слово «краевого»;</w:t>
            </w:r>
          </w:p>
          <w:p w:rsidR="00CB2BAF" w:rsidRPr="00CB2BAF" w:rsidRDefault="00CB2BAF" w:rsidP="00CB2B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ab/>
              <w:t>1 абз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 xml:space="preserve">изложена в следующей редакции: 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«В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края.»</w:t>
            </w:r>
          </w:p>
          <w:p w:rsidR="00154FE2" w:rsidRPr="00572F55" w:rsidRDefault="00CB2BAF" w:rsidP="00CB2B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ab/>
              <w:t>в приложении 1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, 2, 4, 5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предоставления субсидий субъектам малого и среднего предпринимательства 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 xml:space="preserve">(далее –СМСП) 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в целях финансирования части затрат, связанных с созданием и (или) развитием групп дневного времяпрепровожд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 xml:space="preserve">ения детей дошкольного возраста, </w:t>
            </w:r>
            <w:r w:rsidR="00740D78"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2 к Заявлению на предоставление субсидии 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740D78"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финансирования части затрат, связанных с созданием и (или) развитием групп дневного времяпрепровождения детей дошкольного возраста (для индивидуального предпринимателя)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40D78"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Заявлению на предоставление субсидии 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740D78"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финансирования части затрат, связанных с созданием и (или) развитием групп дневного времяпрепровождения детей дошкольного возраста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0D78" w:rsidRPr="00CB2BAF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  <w:r w:rsidR="0074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78" w:rsidRPr="00740D78">
              <w:rPr>
                <w:rFonts w:ascii="Times New Roman" w:hAnsi="Times New Roman" w:cs="Times New Roman"/>
                <w:sz w:val="24"/>
                <w:szCs w:val="24"/>
              </w:rPr>
              <w:t>внесены изменения юридико-технического характера.</w:t>
            </w:r>
          </w:p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  <w:vMerge w:val="restar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154FE2" w:rsidRPr="00572F55" w:rsidTr="00B70BD0">
        <w:tc>
          <w:tcPr>
            <w:tcW w:w="405" w:type="pct"/>
            <w:vMerge/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72F55" w:rsidRDefault="0042691E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  <w:tr w:rsidR="00154FE2" w:rsidRPr="00572F55" w:rsidTr="00B70BD0">
        <w:tc>
          <w:tcPr>
            <w:tcW w:w="405" w:type="pct"/>
            <w:vMerge/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специалист</w:t>
            </w:r>
          </w:p>
        </w:tc>
      </w:tr>
      <w:tr w:rsidR="00154FE2" w:rsidRPr="00572F55" w:rsidTr="00B70BD0">
        <w:trPr>
          <w:trHeight w:val="249"/>
        </w:trPr>
        <w:tc>
          <w:tcPr>
            <w:tcW w:w="405" w:type="pct"/>
            <w:vMerge/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72F55" w:rsidRDefault="0042691E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41-26-35</w:t>
            </w:r>
          </w:p>
        </w:tc>
      </w:tr>
      <w:tr w:rsidR="00740D78" w:rsidRPr="00572F55" w:rsidTr="00B42072">
        <w:trPr>
          <w:trHeight w:val="249"/>
        </w:trPr>
        <w:tc>
          <w:tcPr>
            <w:tcW w:w="405" w:type="pct"/>
            <w:vMerge/>
          </w:tcPr>
          <w:p w:rsidR="00740D78" w:rsidRPr="00572F55" w:rsidRDefault="00740D78" w:rsidP="007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40D78" w:rsidRPr="00572F55" w:rsidRDefault="00740D78" w:rsidP="007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8" w:rsidRDefault="00740D78" w:rsidP="007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ShevchukOL@kamgov.ru</w:t>
            </w:r>
          </w:p>
        </w:tc>
      </w:tr>
    </w:tbl>
    <w:p w:rsidR="00154FE2" w:rsidRPr="00572F55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572F55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572F55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54FE2" w:rsidRPr="00572F55" w:rsidRDefault="00154FE2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154FE2" w:rsidRPr="00572F55" w:rsidRDefault="00740D78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8">
              <w:rPr>
                <w:rFonts w:ascii="Times New Roman" w:hAnsi="Times New Roman" w:cs="Times New Roman"/>
                <w:sz w:val="24"/>
                <w:szCs w:val="24"/>
              </w:rPr>
              <w:t>В сответствии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154FE2" w:rsidRPr="00572F55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2F55" w:rsidRDefault="008701D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приведения в соответствие проекта приказа  положениям действующего законодательства Российской Федерации, Камчатского края. </w:t>
            </w:r>
            <w:r w:rsidR="00154FE2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25E6C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154FE2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совершенствование правового регулирования.  Правовое регулирование направлено на создание благоприятных условий для развития предпринимательской деятельности.  Государственная поддержка предоставляется СМСП в целях финансирования части затрат, связанных с созданием и (или) развитием групп дневного времяпрепровождения детей дошкольного возраста. Субсидии предоставляются СМСП в размере, указанном в заявлении СМСП, но не более 1 000 тыс.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 Правовое регулирование позволит повысить качество продукции, развить конкуренцию, расширить рынок сбыта, увеличить количество рабочих мест, увеличить налоговые отчисления в бюджет.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54FE2" w:rsidRPr="00572F55" w:rsidRDefault="00154FE2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Pr="00572F55" w:rsidRDefault="008701D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Несоответствие положениям действующего законодательства по результатам внутренней проверки Агентства инвестиций и предпринимательства Камчатского края (далее –Агентство).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Pr="00572F55" w:rsidRDefault="008701DF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54FE2" w:rsidRPr="00572F55" w:rsidRDefault="008701DF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«Консультант»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154FE2" w:rsidRPr="00572F55" w:rsidRDefault="0042691E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 отсутствует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3026" w:rsidRPr="00572F55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572F55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572F55" w:rsidTr="00E57FA6">
        <w:tc>
          <w:tcPr>
            <w:tcW w:w="405" w:type="pct"/>
          </w:tcPr>
          <w:p w:rsidR="00473026" w:rsidRPr="00572F55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572F55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51" w:rsidRPr="00572F55" w:rsidRDefault="008701DF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Не рассматривался</w:t>
            </w:r>
          </w:p>
          <w:p w:rsidR="00473026" w:rsidRPr="00572F55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026" w:rsidRPr="00572F55" w:rsidTr="00E57FA6">
        <w:tc>
          <w:tcPr>
            <w:tcW w:w="405" w:type="pct"/>
          </w:tcPr>
          <w:p w:rsidR="00473026" w:rsidRPr="00572F55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572F55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572F55" w:rsidRDefault="0042691E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  <w:p w:rsidR="00473026" w:rsidRPr="00572F55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572F55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F3551" w:rsidRPr="00572F55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572F55" w:rsidTr="00E57FA6">
        <w:trPr>
          <w:trHeight w:val="55"/>
        </w:trPr>
        <w:tc>
          <w:tcPr>
            <w:tcW w:w="405" w:type="pct"/>
          </w:tcPr>
          <w:p w:rsidR="00253EAD" w:rsidRPr="00572F5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</w:tcPr>
          <w:p w:rsidR="00253EAD" w:rsidRPr="00572F5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572F5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</w:tcPr>
          <w:p w:rsidR="00253EAD" w:rsidRPr="00572F5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8701DF" w:rsidRPr="00572F55" w:rsidTr="00007F0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Российской Федерации</w:t>
            </w:r>
          </w:p>
        </w:tc>
        <w:tc>
          <w:tcPr>
            <w:tcW w:w="2630" w:type="pct"/>
            <w:gridSpan w:val="2"/>
          </w:tcPr>
          <w:p w:rsidR="008701DF" w:rsidRPr="00572F55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Вторая декада февраля 2019 года</w:t>
            </w:r>
          </w:p>
        </w:tc>
      </w:tr>
      <w:tr w:rsidR="008701DF" w:rsidRPr="00572F55" w:rsidTr="00007F0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</w:t>
            </w:r>
          </w:p>
        </w:tc>
        <w:tc>
          <w:tcPr>
            <w:tcW w:w="2630" w:type="pct"/>
            <w:gridSpan w:val="2"/>
          </w:tcPr>
          <w:p w:rsidR="008701DF" w:rsidRPr="00572F55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701DF" w:rsidRPr="00572F55" w:rsidTr="00007F0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  <w:tc>
          <w:tcPr>
            <w:tcW w:w="2630" w:type="pct"/>
            <w:gridSpan w:val="2"/>
          </w:tcPr>
          <w:p w:rsidR="008701DF" w:rsidRPr="00572F55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9208D" w:rsidRPr="00572F55" w:rsidTr="00E57FA6">
        <w:tc>
          <w:tcPr>
            <w:tcW w:w="405" w:type="pct"/>
          </w:tcPr>
          <w:p w:rsidR="0089208D" w:rsidRPr="00572F55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08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EAD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208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572F55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572F55" w:rsidRDefault="004269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Проект приказа разработан в соответствии с основными стратегическими документами социально-экономического развития Российской Федерации и Камчатского края</w:t>
            </w:r>
          </w:p>
          <w:p w:rsidR="00CF3551" w:rsidRPr="00572F55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89208D" w:rsidRPr="00572F55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3EAD" w:rsidRPr="00572F55" w:rsidTr="00E57FA6">
        <w:tc>
          <w:tcPr>
            <w:tcW w:w="405" w:type="pct"/>
          </w:tcPr>
          <w:p w:rsidR="00253EAD" w:rsidRPr="00572F5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572F55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EAD" w:rsidRPr="00572F55" w:rsidRDefault="0042691E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 отсутствует</w:t>
            </w:r>
          </w:p>
          <w:p w:rsidR="00253EAD" w:rsidRPr="00572F55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60F03" w:rsidRPr="00572F55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6. </w:t>
      </w: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572F55" w:rsidTr="00E57FA6">
        <w:tc>
          <w:tcPr>
            <w:tcW w:w="405" w:type="pct"/>
          </w:tcPr>
          <w:p w:rsidR="00860F03" w:rsidRPr="00572F5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572F55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F3551" w:rsidRPr="00572F55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</w:t>
            </w:r>
            <w:r w:rsidR="00181A80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правоустанавливающими, устанавливают право СМСП обратиться за финансовой поддержкой</w:t>
            </w:r>
          </w:p>
          <w:p w:rsidR="00860F03" w:rsidRPr="00572F5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572F55" w:rsidTr="00E57FA6">
        <w:tc>
          <w:tcPr>
            <w:tcW w:w="405" w:type="pct"/>
          </w:tcPr>
          <w:p w:rsidR="00860F03" w:rsidRPr="00572F5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Pr="00572F55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F3551" w:rsidRPr="00572F55" w:rsidRDefault="004269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Варианты достижения поставленной уели путем нвмешательства и саморегулирования неприемлемы</w:t>
            </w:r>
          </w:p>
          <w:p w:rsidR="00860F03" w:rsidRPr="00572F5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572F55" w:rsidTr="00E57FA6">
        <w:tc>
          <w:tcPr>
            <w:tcW w:w="405" w:type="pct"/>
          </w:tcPr>
          <w:p w:rsidR="00860F03" w:rsidRPr="00572F5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572F55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F3551" w:rsidRPr="00572F55" w:rsidRDefault="0042691E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Выбор правового регулирования основан на требованиях законодательства Российской Федерации, которые не могут быть не учтены при принятии порядка предоставления субсидий</w:t>
            </w:r>
          </w:p>
          <w:p w:rsidR="00860F03" w:rsidRPr="00572F5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0A1D" w:rsidRPr="00572F55" w:rsidTr="00E57FA6">
        <w:tc>
          <w:tcPr>
            <w:tcW w:w="405" w:type="pct"/>
          </w:tcPr>
          <w:p w:rsidR="00700A1D" w:rsidRPr="00572F55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572F55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F3551" w:rsidRPr="00572F55" w:rsidRDefault="0042691E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00A1D" w:rsidRPr="00572F55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B7270" w:rsidRPr="00572F55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572F55" w:rsidTr="00E57FA6">
        <w:trPr>
          <w:trHeight w:val="55"/>
        </w:trPr>
        <w:tc>
          <w:tcPr>
            <w:tcW w:w="405" w:type="pct"/>
          </w:tcPr>
          <w:p w:rsidR="003467FE" w:rsidRPr="00572F5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3467FE" w:rsidRPr="00572F5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572F5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572F5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572F55" w:rsidTr="00E57FA6">
        <w:trPr>
          <w:trHeight w:val="52"/>
        </w:trPr>
        <w:tc>
          <w:tcPr>
            <w:tcW w:w="5000" w:type="pct"/>
            <w:gridSpan w:val="4"/>
          </w:tcPr>
          <w:p w:rsidR="00906A0A" w:rsidRPr="00572F5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RPr="00572F55" w:rsidTr="00E57FA6">
        <w:trPr>
          <w:trHeight w:val="52"/>
        </w:trPr>
        <w:tc>
          <w:tcPr>
            <w:tcW w:w="2370" w:type="pct"/>
            <w:gridSpan w:val="2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54FE2" w:rsidRPr="00572F55" w:rsidRDefault="00154FE2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Единого реестра общее  количество субъектов малого и среднего предпринимательства составляет – 15 </w:t>
            </w:r>
            <w:r w:rsidR="008701D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</w:tc>
      </w:tr>
      <w:tr w:rsidR="0083358C" w:rsidRPr="00572F55" w:rsidTr="00E57FA6">
        <w:trPr>
          <w:trHeight w:val="31"/>
        </w:trPr>
        <w:tc>
          <w:tcPr>
            <w:tcW w:w="5000" w:type="pct"/>
            <w:gridSpan w:val="4"/>
          </w:tcPr>
          <w:p w:rsidR="0083358C" w:rsidRPr="00572F55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D2467" w:rsidRPr="00572F55" w:rsidTr="00E57FA6">
        <w:tc>
          <w:tcPr>
            <w:tcW w:w="405" w:type="pct"/>
          </w:tcPr>
          <w:p w:rsidR="001D2467" w:rsidRPr="00572F55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Pr="00572F5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215" w:rsidRPr="00572F55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https://rmsp.nalog.ru/</w:t>
            </w:r>
          </w:p>
          <w:p w:rsidR="001D2467" w:rsidRPr="00572F55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56780" w:rsidRPr="00572F55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="002C6215" w:rsidRPr="00572F55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572F55" w:rsidTr="00E57FA6">
        <w:tc>
          <w:tcPr>
            <w:tcW w:w="1667" w:type="pct"/>
          </w:tcPr>
          <w:p w:rsidR="00BB2E8D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572F55" w:rsidTr="00E57FA6">
        <w:tc>
          <w:tcPr>
            <w:tcW w:w="1667" w:type="pct"/>
          </w:tcPr>
          <w:p w:rsidR="00EF1EE9" w:rsidRPr="00572F55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572F55" w:rsidRDefault="00154FE2" w:rsidP="0015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701DF" w:rsidRPr="00572F55" w:rsidTr="00F5507D"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документов для оказания мер поддержки требуется</w:t>
            </w:r>
          </w:p>
        </w:tc>
      </w:tr>
      <w:tr w:rsidR="008701DF" w:rsidRPr="00572F55" w:rsidTr="00F5507D"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поддержки предпринимательства»</w:t>
            </w:r>
          </w:p>
        </w:tc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Наделение отдельными организационно-техническими полномочиями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необходимых документов для предоставления мер поддержки</w:t>
            </w:r>
          </w:p>
        </w:tc>
      </w:tr>
    </w:tbl>
    <w:p w:rsidR="00467996" w:rsidRPr="00572F55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572F55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572F55" w:rsidTr="00DC0C29">
        <w:tc>
          <w:tcPr>
            <w:tcW w:w="1723" w:type="pct"/>
            <w:gridSpan w:val="2"/>
          </w:tcPr>
          <w:p w:rsidR="00D4186E" w:rsidRPr="00572F5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572F5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572F5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572F5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572F55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572F55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D4186E" w:rsidRPr="00572F5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572F5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FB5B21" w:rsidRPr="00572F55" w:rsidTr="002C6215">
        <w:tc>
          <w:tcPr>
            <w:tcW w:w="439" w:type="pct"/>
          </w:tcPr>
          <w:p w:rsidR="00FB5B21" w:rsidRPr="00572F55" w:rsidRDefault="00FB5B21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572F55" w:rsidRDefault="00001BF0" w:rsidP="002C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572F55" w:rsidRDefault="004269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предпринимательство Камчатского края</w:t>
            </w:r>
          </w:p>
        </w:tc>
      </w:tr>
      <w:tr w:rsidR="00714902" w:rsidRPr="00572F55" w:rsidTr="00DC0C29">
        <w:tc>
          <w:tcPr>
            <w:tcW w:w="439" w:type="pct"/>
            <w:vMerge w:val="restart"/>
          </w:tcPr>
          <w:p w:rsidR="00714902" w:rsidRPr="00572F5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572F55" w:rsidRDefault="00DC0C29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572F5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572F5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714902" w:rsidRPr="00572F55" w:rsidRDefault="004269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Не более 1000 тыс. руб. на одного СМСП</w:t>
            </w:r>
          </w:p>
        </w:tc>
      </w:tr>
      <w:tr w:rsidR="00DC0C29" w:rsidRPr="00572F55" w:rsidTr="00DC0C29">
        <w:tc>
          <w:tcPr>
            <w:tcW w:w="439" w:type="pct"/>
            <w:vMerge/>
          </w:tcPr>
          <w:p w:rsidR="00DC0C29" w:rsidRPr="00572F5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C0C29" w:rsidRPr="00572F5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572F5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9.4.3.</w:t>
            </w:r>
          </w:p>
        </w:tc>
        <w:tc>
          <w:tcPr>
            <w:tcW w:w="1442" w:type="pct"/>
          </w:tcPr>
          <w:p w:rsidR="00DC0C29" w:rsidRPr="00572F5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1396" w:type="pct"/>
          </w:tcPr>
          <w:p w:rsidR="008701DF" w:rsidRPr="008701DF" w:rsidRDefault="008701DF" w:rsidP="00870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На реализацию мер финансовой поддежки Подпрограммой 2 Государственной программы Постановление Правительства Камчатского края от 29.11.2013 № 521-П</w:t>
            </w:r>
          </w:p>
          <w:p w:rsidR="00DC0C29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Камчатского края "Развитие экономики и внешнеэкономической деятельности Камчатского края» на предоставление субсидий субъектам малого и среднего предпринимательства на финансовое обеспечение затрат в связи с производством товаров, работ, услуг предуссмотрено 25 000 тыс.руб </w:t>
            </w:r>
          </w:p>
        </w:tc>
      </w:tr>
      <w:tr w:rsidR="00DC0C29" w:rsidRPr="00572F55" w:rsidTr="00DC0C29">
        <w:tc>
          <w:tcPr>
            <w:tcW w:w="439" w:type="pct"/>
            <w:vMerge/>
          </w:tcPr>
          <w:p w:rsidR="00DC0C29" w:rsidRPr="00572F5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C0C29" w:rsidRPr="00572F5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572F5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9.4.4.</w:t>
            </w:r>
          </w:p>
        </w:tc>
        <w:tc>
          <w:tcPr>
            <w:tcW w:w="1442" w:type="pct"/>
          </w:tcPr>
          <w:p w:rsidR="00DC0C29" w:rsidRPr="00572F55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</w:tc>
        <w:tc>
          <w:tcPr>
            <w:tcW w:w="1396" w:type="pct"/>
          </w:tcPr>
          <w:p w:rsidR="00DC0C29" w:rsidRPr="00572F55" w:rsidRDefault="004269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0C29" w:rsidRPr="00572F55" w:rsidTr="00DC0C29">
        <w:tc>
          <w:tcPr>
            <w:tcW w:w="439" w:type="pct"/>
          </w:tcPr>
          <w:p w:rsidR="00DC0C29" w:rsidRPr="00572F5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572F5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Pr="00572F55" w:rsidRDefault="004269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Не более 1 000 тыс. на одного СМСП</w:t>
            </w:r>
          </w:p>
        </w:tc>
      </w:tr>
      <w:tr w:rsidR="00DC0C29" w:rsidRPr="00572F55" w:rsidTr="00DC0C29">
        <w:tc>
          <w:tcPr>
            <w:tcW w:w="439" w:type="pct"/>
          </w:tcPr>
          <w:p w:rsidR="00DC0C29" w:rsidRPr="00572F5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572F5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572F55" w:rsidRDefault="008701DF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2691E" w:rsidRPr="00572F55">
              <w:rPr>
                <w:rFonts w:ascii="Times New Roman" w:hAnsi="Times New Roman" w:cs="Times New Roman"/>
                <w:sz w:val="24"/>
                <w:szCs w:val="24"/>
              </w:rPr>
              <w:t>000 тыс. руб.</w:t>
            </w:r>
          </w:p>
        </w:tc>
      </w:tr>
      <w:tr w:rsidR="00DC0C29" w:rsidRPr="00572F55" w:rsidTr="00DC0C29">
        <w:tc>
          <w:tcPr>
            <w:tcW w:w="439" w:type="pct"/>
          </w:tcPr>
          <w:p w:rsidR="00DC0C29" w:rsidRPr="00572F5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572F5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572F55" w:rsidRDefault="004269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0C29" w:rsidRPr="00572F55" w:rsidTr="002C6215">
        <w:tc>
          <w:tcPr>
            <w:tcW w:w="439" w:type="pct"/>
          </w:tcPr>
          <w:p w:rsidR="00DC0C29" w:rsidRPr="00572F5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8701DF" w:rsidRDefault="00DC0C29" w:rsidP="008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</w:t>
            </w:r>
            <w:r w:rsidR="0042691E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  <w:p w:rsidR="00DC0C29" w:rsidRPr="00572F55" w:rsidRDefault="00DC0C29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C0C29" w:rsidRPr="00572F55" w:rsidTr="002C6215">
        <w:tc>
          <w:tcPr>
            <w:tcW w:w="439" w:type="pct"/>
          </w:tcPr>
          <w:p w:rsidR="00DC0C29" w:rsidRPr="00572F5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Pr="00572F55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DC0C29" w:rsidRPr="00572F55" w:rsidRDefault="008701DF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предусмотрено Подпрограммой 2 Государственной программы Постановление Правительства Камчатского края от 29.11.2013 № 521-П «О государственной программе Камчатского края "Развитие экономики и внешнеэкономической деятельности Камчатского края»</w:t>
            </w:r>
          </w:p>
          <w:p w:rsidR="00DC0C29" w:rsidRPr="00572F55" w:rsidRDefault="00DC0C29" w:rsidP="00A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24583" w:rsidRPr="00572F55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C6215" w:rsidRPr="00572F55">
        <w:rPr>
          <w:rFonts w:ascii="Times New Roman" w:hAnsi="Times New Roman" w:cs="Times New Roman"/>
          <w:sz w:val="24"/>
          <w:szCs w:val="24"/>
        </w:rPr>
        <w:t xml:space="preserve"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</w:t>
      </w:r>
      <w:r w:rsidR="002C6215" w:rsidRPr="00572F55">
        <w:rPr>
          <w:rFonts w:ascii="Times New Roman" w:hAnsi="Times New Roman" w:cs="Times New Roman"/>
          <w:sz w:val="24"/>
          <w:szCs w:val="24"/>
        </w:rPr>
        <w:lastRenderedPageBreak/>
        <w:t>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9"/>
        <w:gridCol w:w="4279"/>
        <w:gridCol w:w="3000"/>
      </w:tblGrid>
      <w:tr w:rsidR="00224583" w:rsidRPr="00572F55" w:rsidTr="00572F55">
        <w:tc>
          <w:tcPr>
            <w:tcW w:w="1220" w:type="pct"/>
          </w:tcPr>
          <w:p w:rsidR="00224583" w:rsidRPr="00572F5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572F55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222" w:type="pct"/>
          </w:tcPr>
          <w:p w:rsidR="00224583" w:rsidRPr="00572F5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572F55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558" w:type="pct"/>
          </w:tcPr>
          <w:p w:rsidR="00224583" w:rsidRPr="00572F5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572F55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572F55" w:rsidTr="0038753F">
        <w:trPr>
          <w:trHeight w:val="192"/>
        </w:trPr>
        <w:tc>
          <w:tcPr>
            <w:tcW w:w="5000" w:type="pct"/>
            <w:gridSpan w:val="3"/>
          </w:tcPr>
          <w:p w:rsidR="006862D4" w:rsidRPr="00572F55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6862D4" w:rsidRPr="00572F55" w:rsidTr="00572F55">
        <w:trPr>
          <w:trHeight w:val="192"/>
        </w:trPr>
        <w:tc>
          <w:tcPr>
            <w:tcW w:w="1220" w:type="pct"/>
          </w:tcPr>
          <w:p w:rsidR="006862D4" w:rsidRPr="00572F55" w:rsidRDefault="00572F55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222" w:type="pct"/>
          </w:tcPr>
          <w:p w:rsidR="00CF5800" w:rsidRPr="00CF5800" w:rsidRDefault="00CF5800" w:rsidP="00CF580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>1) ч. 2 в п. 1 после слов «электроснабжения нежилого помещения» дополнена словами «сроком не более 6 месяцев»; в ч. 2 в п. 1 слова «(не более 30% от размера получаемой субсидии) исключены»; в п. 2 слова «, но не более 30% от размера получаемой субсидии» исключены;</w:t>
            </w:r>
          </w:p>
          <w:p w:rsidR="00CF5800" w:rsidRPr="00CF5800" w:rsidRDefault="00CF5800" w:rsidP="00CF580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>2) в п. 11 ч. 4 заменено слолво «федерального» на слово «краевого»;</w:t>
            </w:r>
          </w:p>
          <w:p w:rsidR="00CF5800" w:rsidRPr="00CF5800" w:rsidRDefault="00CF5800" w:rsidP="00CF580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ab/>
              <w:t>1 абз. ч. 27 изложена в следующей редакции: «В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края.»</w:t>
            </w:r>
          </w:p>
          <w:p w:rsidR="006862D4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приложении 1, 2, 4, 5 к Порядку предоставления субсидий субъектам малого и среднего предпринимательства (далее –СМСП) в целях финансирования части затрат, связанных с созданием и (или) развитием групп дневного времяпрепровождения детей дошкольного возраста, в приложение 2 к Заявлению на предоставление субсидии СМСП в целях финансирования части затрат, связанных с созданием и (или) развитием групп дневного времяпрепровождения детей дошкольного возраста (для индивидуального предпринимателя) и приложение 2 к Заявлению на предоставление субсидии СМСП в целях финансирования части затрат, </w:t>
            </w:r>
            <w:r w:rsidRPr="00CF5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созданием и (или) развитием групп дневного времяпрепровождения детей дошкольного возраста ((для юридического лица) внесены изменения юридико-технического характера.</w:t>
            </w:r>
          </w:p>
        </w:tc>
        <w:tc>
          <w:tcPr>
            <w:tcW w:w="1558" w:type="pct"/>
          </w:tcPr>
          <w:p w:rsidR="006862D4" w:rsidRPr="00572F55" w:rsidRDefault="00572F55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</w:t>
            </w:r>
          </w:p>
        </w:tc>
      </w:tr>
    </w:tbl>
    <w:p w:rsidR="00B06E11" w:rsidRPr="00572F55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E4095" w:rsidRPr="00572F55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572F55" w:rsidTr="00E57FA6">
        <w:tc>
          <w:tcPr>
            <w:tcW w:w="1667" w:type="pct"/>
          </w:tcPr>
          <w:p w:rsidR="00B06E11" w:rsidRPr="00572F5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572F55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572F5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572F55" w:rsidRDefault="00D11D17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572F5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572F55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572F55" w:rsidTr="00A832EA">
        <w:trPr>
          <w:trHeight w:val="192"/>
        </w:trPr>
        <w:tc>
          <w:tcPr>
            <w:tcW w:w="5000" w:type="pct"/>
            <w:gridSpan w:val="3"/>
          </w:tcPr>
          <w:p w:rsidR="00A832EA" w:rsidRPr="00572F55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CF5800" w:rsidRPr="00572F55" w:rsidTr="00861C4E">
        <w:trPr>
          <w:trHeight w:val="192"/>
        </w:trPr>
        <w:tc>
          <w:tcPr>
            <w:tcW w:w="1667" w:type="pct"/>
            <w:vMerge w:val="restart"/>
          </w:tcPr>
          <w:p w:rsidR="00CF5800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обязанностей не предусмотрено. СМСП представляет заявление на предоставление субсидии и документы, прилагаемые к нему.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копий необходимыйх документов в количестве 50 шт.– 500 рублей, из расчета 1 лист – 10 рублей.</w:t>
            </w:r>
          </w:p>
        </w:tc>
      </w:tr>
      <w:tr w:rsidR="00572F55" w:rsidRPr="00572F55" w:rsidTr="00A832EA">
        <w:trPr>
          <w:trHeight w:val="192"/>
        </w:trPr>
        <w:tc>
          <w:tcPr>
            <w:tcW w:w="1667" w:type="pct"/>
            <w:vMerge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55" w:rsidRPr="00572F55" w:rsidTr="00A832EA">
        <w:trPr>
          <w:trHeight w:val="192"/>
        </w:trPr>
        <w:tc>
          <w:tcPr>
            <w:tcW w:w="1667" w:type="pct"/>
            <w:vMerge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21" w:rsidRPr="00572F55" w:rsidRDefault="00CE4D90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12</w:t>
      </w:r>
      <w:r w:rsidR="00891221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572F55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7"/>
        <w:gridCol w:w="2390"/>
        <w:gridCol w:w="2390"/>
        <w:gridCol w:w="2394"/>
      </w:tblGrid>
      <w:tr w:rsidR="0085648D" w:rsidRPr="00572F55" w:rsidTr="00CF5800">
        <w:trPr>
          <w:trHeight w:val="2883"/>
        </w:trPr>
        <w:tc>
          <w:tcPr>
            <w:tcW w:w="1275" w:type="pct"/>
            <w:gridSpan w:val="2"/>
          </w:tcPr>
          <w:p w:rsidR="0085648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</w:tcPr>
          <w:p w:rsidR="0085648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1" w:type="pct"/>
          </w:tcPr>
          <w:p w:rsidR="0085648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BD"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419BD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572F55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800" w:rsidRPr="00572F55" w:rsidTr="00CF5800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государственной поддержки риски низкие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низкая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условий догоров с исполнителями услуг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800" w:rsidRPr="00572F55" w:rsidTr="00CF5800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8CB" w:rsidRPr="00572F55" w:rsidTr="00572F55">
        <w:tc>
          <w:tcPr>
            <w:tcW w:w="404" w:type="pct"/>
          </w:tcPr>
          <w:p w:rsidR="00FF38CB" w:rsidRPr="00572F55" w:rsidRDefault="00CE4D90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="00FF38CB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Pr="00572F55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FF38C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572F55" w:rsidRDefault="00CF580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F38CB" w:rsidRPr="00572F55" w:rsidRDefault="00FF38C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85764" w:rsidRPr="00572F55" w:rsidRDefault="00CE4D90" w:rsidP="00F8576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13</w:t>
      </w:r>
      <w:r w:rsidR="00BB1753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572F55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583BE6" w:rsidRPr="00572F55" w:rsidTr="00A56405">
        <w:tc>
          <w:tcPr>
            <w:tcW w:w="371" w:type="pct"/>
          </w:tcPr>
          <w:p w:rsidR="00583BE6" w:rsidRPr="00572F55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3BE6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Pr="00572F55" w:rsidRDefault="00583BE6" w:rsidP="008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проекта </w:t>
            </w:r>
            <w:r w:rsidR="006E4095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  <w:tc>
          <w:tcPr>
            <w:tcW w:w="1925" w:type="pct"/>
          </w:tcPr>
          <w:p w:rsidR="00583BE6" w:rsidRPr="00572F55" w:rsidRDefault="00CF5800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 год</w:t>
            </w:r>
          </w:p>
        </w:tc>
      </w:tr>
      <w:tr w:rsidR="00864312" w:rsidRPr="00572F55" w:rsidTr="00A56405">
        <w:tc>
          <w:tcPr>
            <w:tcW w:w="371" w:type="pct"/>
          </w:tcPr>
          <w:p w:rsidR="00864312" w:rsidRPr="00572F55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2" w:type="pct"/>
          </w:tcPr>
          <w:p w:rsidR="00D241D6" w:rsidRPr="00572F55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572F55" w:rsidRDefault="00CF5800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572F55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572F55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64312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572F55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572F5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312" w:rsidRPr="00572F55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субъектов Российской Федерации, на территориях которых проводится правовой эксперимент: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B" w:rsidRPr="00572F55" w:rsidRDefault="00CE4D90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14</w:t>
      </w:r>
      <w:r w:rsidR="006063F9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572F55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55E" w:rsidRDefault="0047055E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5E">
              <w:rPr>
                <w:rFonts w:ascii="Times New Roman" w:hAnsi="Times New Roman" w:cs="Times New Roman"/>
                <w:sz w:val="24"/>
                <w:szCs w:val="24"/>
              </w:rPr>
              <w:t xml:space="preserve">http://regulation.kamgov.ru/projects/List/AdvancedSearch#npa=6345 </w:t>
            </w: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572F55" w:rsidTr="00A56405">
        <w:trPr>
          <w:trHeight w:val="105"/>
        </w:trPr>
        <w:tc>
          <w:tcPr>
            <w:tcW w:w="371" w:type="pct"/>
            <w:vMerge w:val="restart"/>
          </w:tcPr>
          <w:p w:rsidR="00677A82" w:rsidRPr="00572F55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572F55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CF5800" w:rsidRPr="00572F55" w:rsidTr="008B43B8">
        <w:trPr>
          <w:trHeight w:val="105"/>
        </w:trPr>
        <w:tc>
          <w:tcPr>
            <w:tcW w:w="371" w:type="pct"/>
            <w:vMerge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CF5800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</w:tr>
      <w:tr w:rsidR="00CF5800" w:rsidRPr="00572F55" w:rsidTr="008B43B8">
        <w:trPr>
          <w:trHeight w:val="105"/>
        </w:trPr>
        <w:tc>
          <w:tcPr>
            <w:tcW w:w="371" w:type="pct"/>
            <w:vMerge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CF5800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 результатам публичных консультаций</w:t>
            </w: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572F55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15</w:t>
      </w:r>
      <w:r w:rsidR="001A47DC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572F55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572F55" w:rsidTr="00043567">
        <w:tc>
          <w:tcPr>
            <w:tcW w:w="403" w:type="pct"/>
          </w:tcPr>
          <w:p w:rsidR="00FF774D" w:rsidRPr="00572F55" w:rsidRDefault="00CE4D90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74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572F55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74D" w:rsidRPr="00572F55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572F55" w:rsidTr="00043567">
        <w:tc>
          <w:tcPr>
            <w:tcW w:w="403" w:type="pct"/>
          </w:tcPr>
          <w:p w:rsidR="00810F20" w:rsidRPr="00572F55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572F55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20" w:rsidRPr="00572F55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572F55" w:rsidRDefault="00CE4D90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16</w:t>
      </w:r>
      <w:r w:rsidR="00043567" w:rsidRPr="00572F55">
        <w:rPr>
          <w:rFonts w:ascii="Times New Roman" w:hAnsi="Times New Roman" w:cs="Times New Roman"/>
          <w:sz w:val="24"/>
          <w:szCs w:val="24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572F55" w:rsidTr="00B70BD0">
        <w:tc>
          <w:tcPr>
            <w:tcW w:w="403" w:type="pct"/>
          </w:tcPr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572F55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47055E" w:rsidRDefault="0047055E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E2AB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http://regulation.kamgov.ru/projects/List/AdvancedSearch#npa=6345</w:t>
              </w:r>
            </w:hyperlink>
          </w:p>
          <w:p w:rsidR="00043567" w:rsidRPr="00572F55" w:rsidRDefault="00572F55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3567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43567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43567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572F55" w:rsidTr="00B70BD0">
        <w:trPr>
          <w:trHeight w:val="105"/>
        </w:trPr>
        <w:tc>
          <w:tcPr>
            <w:tcW w:w="403" w:type="pct"/>
            <w:vMerge w:val="restart"/>
          </w:tcPr>
          <w:p w:rsidR="00043567" w:rsidRPr="00572F5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572F5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572F55" w:rsidRDefault="00043567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572F55" w:rsidTr="00B70BD0">
        <w:trPr>
          <w:trHeight w:val="105"/>
        </w:trPr>
        <w:tc>
          <w:tcPr>
            <w:tcW w:w="403" w:type="pct"/>
            <w:vMerge/>
          </w:tcPr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572F5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572F5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572F55" w:rsidTr="00B70BD0">
        <w:trPr>
          <w:trHeight w:val="105"/>
        </w:trPr>
        <w:tc>
          <w:tcPr>
            <w:tcW w:w="403" w:type="pct"/>
            <w:vMerge/>
          </w:tcPr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572F5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CF5800" w:rsidRPr="00572F55" w:rsidRDefault="00CF5800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572F55" w:rsidTr="00B70BD0">
        <w:tc>
          <w:tcPr>
            <w:tcW w:w="403" w:type="pct"/>
          </w:tcPr>
          <w:p w:rsidR="00043567" w:rsidRPr="00572F5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572F55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CF5800" w:rsidRDefault="00CF580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CF580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3567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43567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43567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572F55" w:rsidTr="00B70BD0">
        <w:tc>
          <w:tcPr>
            <w:tcW w:w="403" w:type="pct"/>
          </w:tcPr>
          <w:p w:rsidR="00043567" w:rsidRPr="00572F5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572F55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572F55" w:rsidRDefault="00572F55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Отдел РПиРП</w:t>
            </w: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572F55" w:rsidTr="00B70BD0">
        <w:tc>
          <w:tcPr>
            <w:tcW w:w="403" w:type="pct"/>
          </w:tcPr>
          <w:p w:rsidR="00043567" w:rsidRPr="00572F5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CF5800" w:rsidRPr="00572F55" w:rsidRDefault="00CF5800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572F55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572F5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572F5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572F55" w:rsidTr="00CF5800">
        <w:tc>
          <w:tcPr>
            <w:tcW w:w="2642" w:type="pct"/>
            <w:vAlign w:val="bottom"/>
          </w:tcPr>
          <w:p w:rsidR="00043567" w:rsidRPr="00572F55" w:rsidRDefault="00572F55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Начальник отдела РПиРП Агентства инвестиций и предпринимательства Камчатского края</w:t>
            </w: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572F5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043567" w:rsidRPr="00572F5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43567" w:rsidRPr="00572F5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3567" w:rsidRPr="00572F55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79" w:rsidRDefault="00D10F79" w:rsidP="00EA7CC1">
      <w:pPr>
        <w:spacing w:after="0" w:line="240" w:lineRule="auto"/>
      </w:pPr>
      <w:r>
        <w:separator/>
      </w:r>
    </w:p>
  </w:endnote>
  <w:endnote w:type="continuationSeparator" w:id="0">
    <w:p w:rsidR="00D10F79" w:rsidRDefault="00D10F7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79" w:rsidRDefault="00D10F79" w:rsidP="00EA7CC1">
      <w:pPr>
        <w:spacing w:after="0" w:line="240" w:lineRule="auto"/>
      </w:pPr>
      <w:r>
        <w:separator/>
      </w:r>
    </w:p>
  </w:footnote>
  <w:footnote w:type="continuationSeparator" w:id="0">
    <w:p w:rsidR="00D10F79" w:rsidRDefault="00D10F79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5E6C"/>
    <w:rsid w:val="00026EAA"/>
    <w:rsid w:val="00033E26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81A80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0ECC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2691E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055E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2F55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301FF"/>
    <w:rsid w:val="00740D78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701DF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8160F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3A25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BAF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CF5800"/>
    <w:rsid w:val="00D02AB9"/>
    <w:rsid w:val="00D033DA"/>
    <w:rsid w:val="00D10F7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07AB1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4549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3C9C"/>
    <w:rsid w:val="00F95A61"/>
    <w:rsid w:val="00FA12F5"/>
    <w:rsid w:val="00FB3203"/>
    <w:rsid w:val="00FB5B21"/>
    <w:rsid w:val="00FB5C56"/>
    <w:rsid w:val="00FC5866"/>
    <w:rsid w:val="00FD3A27"/>
    <w:rsid w:val="00FE0FE8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03FB-D6A6-44F1-AEA5-8E7B97C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2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/List/AdvancedSearch#npa=6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6438-63C0-4FE0-A521-E918C9A2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6</cp:revision>
  <cp:lastPrinted>2018-03-06T03:02:00Z</cp:lastPrinted>
  <dcterms:created xsi:type="dcterms:W3CDTF">2018-05-20T22:08:00Z</dcterms:created>
  <dcterms:modified xsi:type="dcterms:W3CDTF">2019-01-24T07:24:00Z</dcterms:modified>
</cp:coreProperties>
</file>