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</w:t>
      </w:r>
      <w:r>
        <w:rPr>
          <w:rFonts w:ascii="Times New Roman" w:hAnsi="Times New Roman"/>
          <w:b w:val="1"/>
          <w:sz w:val="28"/>
        </w:rPr>
        <w:t xml:space="preserve"> на 2024 год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3 части 1 статьи 8 Федерального закона от 29.12.2012 № 273-ФЗ «Об образовании в Российской Федерации»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реализующих образовательные программы дошкольного образования) на 2024 год согласно приложению 1 к настоящему постановлению;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малокомплектных образовательных организациях в Камчатском крае на 2024 год согласно приложению 2 </w:t>
      </w:r>
      <w:r>
        <w:rPr>
          <w:rFonts w:ascii="Times New Roman" w:hAnsi="Times New Roman"/>
          <w:sz w:val="28"/>
        </w:rPr>
        <w:t>к настоящему постановлению</w:t>
      </w:r>
      <w:r>
        <w:rPr>
          <w:rFonts w:ascii="Times New Roman" w:hAnsi="Times New Roman"/>
          <w:sz w:val="28"/>
        </w:rPr>
        <w:t>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расположенных в сельских населенных пунктах и реализующих образовательные программы дошкольного образования, в Камчатском крае на 2024 год согласно приложению 3 </w:t>
      </w:r>
      <w:r>
        <w:rPr>
          <w:rFonts w:ascii="Times New Roman" w:hAnsi="Times New Roman"/>
          <w:sz w:val="28"/>
        </w:rPr>
        <w:t>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января 2024 года.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5000000">
      <w:r>
        <w:br w:type="page"/>
      </w:r>
    </w:p>
    <w:tbl>
      <w:tblPr>
        <w:tblStyle w:val="Style_2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9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Нормативы</w:t>
      </w:r>
    </w:p>
    <w:p w14:paraId="3A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(за исключением муниципальных малокомплектных образовательных организаций и образовательных организаций, расположенных в сельских населенных пунктах и реализующих образовательные программы дошкольного образования) на 2024 год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92"/>
        <w:gridCol w:w="5540"/>
        <w:gridCol w:w="1790"/>
        <w:gridCol w:w="1615"/>
      </w:tblGrid>
      <w:tr>
        <w:tc>
          <w:tcPr>
            <w:tcW w:type="dxa" w:w="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5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организаций</w:t>
            </w:r>
          </w:p>
        </w:tc>
        <w:tc>
          <w:tcPr>
            <w:tcW w:type="dxa" w:w="34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в расчете на одного воспитанника (рублей в год)</w:t>
            </w:r>
          </w:p>
        </w:tc>
      </w:tr>
      <w:tr>
        <w:trPr>
          <w:trHeight w:hRule="atLeast" w:val="672"/>
        </w:trPr>
        <w:tc>
          <w:tcPr>
            <w:tcW w:type="dxa" w:w="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</w:t>
            </w:r>
          </w:p>
          <w:p w14:paraId="4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до 3-х</w:t>
            </w:r>
          </w:p>
          <w:p w14:paraId="4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группа от 3-х до 7-ми лет</w:t>
            </w:r>
          </w:p>
        </w:tc>
      </w:tr>
    </w:tbl>
    <w:p w14:paraId="43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92"/>
        <w:gridCol w:w="5540"/>
        <w:gridCol w:w="1790"/>
        <w:gridCol w:w="1615"/>
      </w:tblGrid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9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оплату труда работников образовательных организаций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5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городских поселениях, городских округах, за исключением городского округа «поселок Палана»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218 505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181 796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5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городском округе «поселок Палана»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235 313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195 780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9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обеспечение образовательной программы дошкольного образования в образовательных организациях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5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городских поселениях, городских округах, за исключением городского округа «поселок Палана»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5144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5659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5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городском округе «поселок Палана»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5658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6225</w:t>
            </w:r>
          </w:p>
        </w:tc>
      </w:tr>
    </w:tbl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за исключением муниципальных малокомплектных образовательных организаций и образовательных организаций, расположенных в сельских населенных пунктах и реализующих образовательные программы дошкольного образования</w:t>
      </w:r>
      <w:r>
        <w:rPr>
          <w:rFonts w:ascii="Times New Roman" w:hAnsi="Times New Roman"/>
          <w:sz w:val="28"/>
        </w:rPr>
        <w:t>) на 2024 год рассчитываются в соответствии с Методикой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</w:t>
      </w:r>
      <w:r>
        <w:rPr>
          <w:rFonts w:ascii="Times New Roman" w:hAnsi="Times New Roman"/>
          <w:sz w:val="28"/>
        </w:rPr>
        <w:t>за исключением муниципальных малокомплектных образовательных организаций и образовательных организаций, расположенных в сельских населенных пунктах и реализующих образовательные программы дошкольного образования</w:t>
      </w:r>
      <w:r>
        <w:rPr>
          <w:rFonts w:ascii="Times New Roman" w:hAnsi="Times New Roman"/>
          <w:sz w:val="28"/>
        </w:rPr>
        <w:t>), являющейся приложением к настоящим нормативам.</w:t>
      </w:r>
    </w:p>
    <w:p w14:paraId="60000000">
      <w:pPr>
        <w:rPr>
          <w:rFonts w:ascii="Times New Roman" w:hAnsi="Times New Roman"/>
          <w:sz w:val="24"/>
        </w:rPr>
      </w:pPr>
      <w:r>
        <w:br w:type="page"/>
      </w:r>
    </w:p>
    <w:p w14:paraId="61000000">
      <w:pPr>
        <w:widowControl w:val="0"/>
        <w:spacing w:after="0" w:before="220" w:line="240" w:lineRule="auto"/>
        <w:ind w:firstLine="0" w:left="4535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</w:t>
      </w:r>
      <w:r>
        <w:br/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за исключением муниципальных малокомплектных образовательных организаций и образовательных организаций, расположенных в сельских населенных пунктах и реализующих образовательные программы дошкольного образования</w:t>
      </w:r>
      <w:r>
        <w:rPr>
          <w:rFonts w:ascii="Times New Roman" w:hAnsi="Times New Roman"/>
          <w:sz w:val="28"/>
        </w:rPr>
        <w:t>) на 2024 год</w:t>
      </w:r>
    </w:p>
    <w:p w14:paraId="62000000">
      <w:pPr>
        <w:widowControl w:val="0"/>
        <w:spacing w:after="0" w:before="22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63000000">
      <w:pPr>
        <w:widowControl w:val="0"/>
        <w:spacing w:after="0" w:before="22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6400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</w:t>
      </w:r>
    </w:p>
    <w:p w14:paraId="6500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</w:t>
      </w:r>
      <w:r>
        <w:br/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за исключением муниципальных малокомплектных образовательных организаций и образовательных организаций, расположенных в сельских населенных пунктах и реализующих образовательные программы дошкольного образования</w:t>
      </w:r>
      <w:r>
        <w:rPr>
          <w:rFonts w:ascii="Times New Roman" w:hAnsi="Times New Roman"/>
          <w:sz w:val="28"/>
        </w:rPr>
        <w:t>)</w:t>
      </w:r>
    </w:p>
    <w:p w14:paraId="6600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6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</w:t>
      </w:r>
      <w:r>
        <w:br/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за исключением муниципальных малокомплектных образовательных организаций и образовательных организаций, расположенных в сельских населенных пунктах и реализующих образовательные программы дошкольного образования</w:t>
      </w:r>
      <w:r>
        <w:rPr>
          <w:rFonts w:ascii="Times New Roman" w:hAnsi="Times New Roman"/>
          <w:sz w:val="28"/>
        </w:rPr>
        <w:t xml:space="preserve">) (далее – образовательные организации) включают расходы на оплату труда, приобретение учебников и учебных пособий, средств обучения, игр, игрушек (за </w:t>
      </w:r>
      <w:r>
        <w:rPr>
          <w:rFonts w:ascii="Times New Roman" w:hAnsi="Times New Roman"/>
          <w:sz w:val="28"/>
        </w:rPr>
        <w:t>исключением расходов на содержание зданий и оплату коммунальных услуг) и определяются в расчете на одного воспитанника исходя из:</w:t>
      </w:r>
    </w:p>
    <w:p w14:paraId="6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численности воспитанников образовательных организаций по видам групп и типам организаций;</w:t>
      </w: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численности детей-инвалидов, осваивающих образовательные программы дошкольного образования в образовательных организациях.</w:t>
      </w:r>
    </w:p>
    <w:p w14:paraId="6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Объем 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определяется по формуле:</w:t>
      </w:r>
    </w:p>
    <w:p w14:paraId="6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C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УЧ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>, где:</w:t>
      </w:r>
    </w:p>
    <w:p w14:paraId="6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объем 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на очередной финансовый год в </w:t>
      </w:r>
      <w:r>
        <w:br/>
      </w:r>
      <w:r>
        <w:rPr>
          <w:rFonts w:ascii="Times New Roman" w:hAnsi="Times New Roman"/>
          <w:sz w:val="28"/>
        </w:rPr>
        <w:t>j-том муниципальном образовании;</w:t>
      </w:r>
    </w:p>
    <w:p w14:paraId="6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нормативные затраты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образовательных организаций в расчете на одного воспитанника на очередной финансовый год в j-том муниципальном образовании;</w:t>
      </w:r>
    </w:p>
    <w:p w14:paraId="7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УЧ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норматив на обеспечение образовательной программы дошкольного образования в образовательных организациях в расчете на одного воспитанника на очередной финансовый год в j-том муниципальном образовании.</w:t>
      </w:r>
    </w:p>
    <w:p w14:paraId="7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Нормативные затраты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образовательных организаций в расчете на одного воспитанника на очередной финансовый год в j-том муниципальном образовании определяются по формуле:</w:t>
      </w:r>
    </w:p>
    <w:p w14:paraId="7200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73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ОТj</w:t>
      </w:r>
      <w:r>
        <w:rPr>
          <w:rFonts w:ascii="Times New Roman" w:hAnsi="Times New Roman"/>
          <w:sz w:val="28"/>
        </w:rPr>
        <w:t xml:space="preserve"> = ∑Б</w:t>
      </w:r>
      <w:r>
        <w:rPr>
          <w:rFonts w:ascii="Times New Roman" w:hAnsi="Times New Roman"/>
          <w:sz w:val="28"/>
          <w:vertAlign w:val="superscript"/>
        </w:rPr>
        <w:t>S</w:t>
      </w:r>
      <w:r>
        <w:rPr>
          <w:rFonts w:ascii="Times New Roman" w:hAnsi="Times New Roman"/>
          <w:sz w:val="28"/>
        </w:rPr>
        <w:t xml:space="preserve"> ×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perscript"/>
        </w:rPr>
        <w:t>S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×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perscript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, где:</w:t>
      </w:r>
    </w:p>
    <w:p w14:paraId="7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perscript"/>
        </w:rPr>
        <w:t>S</w:t>
      </w:r>
      <w:r>
        <w:rPr>
          <w:rFonts w:ascii="Times New Roman" w:hAnsi="Times New Roman"/>
          <w:sz w:val="28"/>
        </w:rPr>
        <w:t xml:space="preserve"> – норматив расходов на оплату труда на очередной финансовый год следующих категорий работников образовательных организаций, осуществляющих в соответствии с Федеральным государственным образовательным стандартом дошкольного образования реализацию программы дошкольного образования:</w:t>
      </w:r>
    </w:p>
    <w:p w14:paraId="7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воспитатели, в том числе старшие воспитатели;</w:t>
      </w:r>
    </w:p>
    <w:p w14:paraId="7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прочие педагогические работники с учетом требований примерных образовательных программ дошкольного образования, в том числе руководители, и заместители руководителей, инструкторы по физкультуре, концертмейстеры, педагоги дополнительного образования, педагоги-организаторы, социальные педагоги, педагоги-психологи, руководители </w:t>
      </w:r>
      <w:r>
        <w:rPr>
          <w:rFonts w:ascii="Times New Roman" w:hAnsi="Times New Roman"/>
          <w:sz w:val="28"/>
        </w:rPr>
        <w:t>физического воспитания, учителя-дефектологи, учителя-логопеды, методисты и прочие;</w:t>
      </w:r>
    </w:p>
    <w:p w14:paraId="7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из числа учебно-вспомогательного персонала, а именно младшие воспитатели и помощники воспитателей;</w:t>
      </w:r>
    </w:p>
    <w:p w14:paraId="7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из числа административно-управленческого и обслуживающего персонала, за исключением персонала, обеспечивающего создание условий для осуществления присмотра и ухода и оказание услуг по присмотру и уходу за детьми, а также персонала, непосредственно связанного с организацией приготовления питания, обслуживанием зданий и оборудования, работников, обеспечивающих функционирование систем отопления, доставку и хранение необходимых средств обучения, продуктов питания (специалисты финансово-экономических, юридических и кадровых служб, работники из числа медперсонала, инженеры, техники, заведующие хозяйством, кладовщики, повара, кухонные работники, грузчики, электрики, рабочие по обслуживанию зданий, костюмеры, швеи, кастелянши, машинисты по стирке белья, садовники и прочие). Оплата труда данных категорий работников осуществляется в пределах ассигнований, утвержденных на очередной финансовый год.</w:t>
      </w:r>
    </w:p>
    <w:p w14:paraId="7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 формируется с учетом расходов на:</w:t>
      </w:r>
    </w:p>
    <w:p w14:paraId="7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ежемесячные доплаты к заработной плате педагогическим работникам за наличие государственных наград СССР, РСФСР и Российской Федерации;</w:t>
      </w:r>
    </w:p>
    <w:p w14:paraId="7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ежемесячные доплаты к заработной плате работникам, имеющим ученые степени доктора наук, кандидата наук;</w:t>
      </w:r>
    </w:p>
    <w:p w14:paraId="7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выплаты премий за многолетний и добросовестный труд;</w:t>
      </w:r>
    </w:p>
    <w:p w14:paraId="7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выплаты ежемесячной денежной компенсации педагогическим работникам на обеспечение книгоиздательской продукцией и периодическими изданиями, включаемой в оклады (должностные оклады) педагогических работников.</w:t>
      </w:r>
    </w:p>
    <w:p w14:paraId="7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perscript"/>
        </w:rPr>
        <w:t>S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– прогнозируемая на очередной финансовый год численность воспитанников, осваивающих i-тую образовательную программу дошкольного образования в образовательных организациях, в j-том муниципальном образовании по данным статистического отчета формы № 85-К на 1 января текущего года, с учетом введения дополнительных мест;</w:t>
      </w:r>
    </w:p>
    <w:p w14:paraId="8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perscript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коэффициент, учитывающий удорожание образовательной услуги в зависимости от образовательной программы дошкольного образования или специфики деятельности образовательных организаций, определяемый в соответствии с таблицей.</w:t>
      </w:r>
    </w:p>
    <w:p w14:paraId="8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200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p w14:paraId="8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04"/>
        <w:gridCol w:w="7229"/>
        <w:gridCol w:w="1717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8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направленности</w:t>
            </w:r>
          </w:p>
        </w:tc>
        <w:tc>
          <w:tcPr>
            <w:tcW w:type="dxa" w:w="1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удорожания</w:t>
            </w:r>
          </w:p>
        </w:tc>
      </w:tr>
    </w:tbl>
    <w:p w14:paraId="88000000">
      <w:pPr>
        <w:tabs>
          <w:tab w:leader="none" w:pos="2595" w:val="left"/>
          <w:tab w:leader="none" w:pos="3030" w:val="left"/>
        </w:tabs>
        <w:spacing w:after="0" w:line="240" w:lineRule="auto"/>
        <w:ind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ab/>
      </w:r>
      <w:r>
        <w:rPr>
          <w:rFonts w:ascii="Times New Roman" w:hAnsi="Times New Roman"/>
          <w:sz w:val="2"/>
        </w:rPr>
        <w:tab/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04"/>
        <w:gridCol w:w="7229"/>
        <w:gridCol w:w="1732"/>
      </w:tblGrid>
      <w:tr>
        <w:trPr>
          <w:tblHeader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Группы общеразвивающей направленности, осуществляющие </w:t>
            </w:r>
            <w:r>
              <w:rPr>
                <w:rFonts w:ascii="Times New Roman" w:hAnsi="Times New Roman"/>
                <w:sz w:val="24"/>
              </w:rPr>
              <w:t>реализацию образовательной программы дошкольного образования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общеразвивающей направленности, осуществляющие совместное образование здоровых детей и детей с ограниченными возможностями здоровья (без создания специальных условий)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компенсирующей направленности, осуществляющие квалифицированную коррекцию недостатков в физическом и психическом развитии и дошкольное образование детей с ограниченными возможностями здоровья (на одного воспитанника):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3-х лет (на группу)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>818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тяжелыми нарушениями речи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>093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нарушениями зрения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>432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нарушениями опорно-двигательного аппарата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z w:val="24"/>
              </w:rPr>
              <w:t>135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слепые дети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6,851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аутизмом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6,864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с задержкой психического развития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3,093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глухие дети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z w:val="24"/>
              </w:rPr>
              <w:t>155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слабослышащие дети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>866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умственной отсталостью легкой степени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3,771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умственной отсталостью умеренной и тяжелой степени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62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со сложным дефектом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</w:t>
            </w:r>
            <w:r>
              <w:rPr>
                <w:rFonts w:ascii="Times New Roman" w:hAnsi="Times New Roman"/>
                <w:sz w:val="24"/>
              </w:rPr>
              <w:t>046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оздоровительной направленности (для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мероприятий)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комбинированной направленности, осуществляющие совместное воспитание и образование здоровых детей и детей с ограниченными возможностями здоровья, в которых созданы условия для инклюзивного образования (на одного воспитанника):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3-х лет (на группу)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тяжелыми нарушениями речи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нарушениями зрения, с задержкой психического развития, с умственной отсталостью легкой степени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слабослышащие дети, дети с нарушениями опорно-двигательного аппарата, с умственной отсталостью умеренной и тяжелой степени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3,125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глухие дети, слепые дети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4,167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со сложным дефектом, с аутизмом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в Центрах развития ребенка, осуществляющие реализацию образовательной программы дошкольного образования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Группы, осуществляющие реализацию образовательной программы дошкольного образования в инновационном (экспериментальном) режиме краевого уровня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1,150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нуждающиеся в длительном лечении, дети-инвалиды, которым на основании заключения медицинской организации, обучение по образовательным программам дошкольного образования организуется на дому или в медицинских организациях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</w:tbl>
    <w:p w14:paraId="DA000000">
      <w:r>
        <w:br w:type="page"/>
      </w:r>
    </w:p>
    <w:tbl>
      <w:tblPr>
        <w:tblStyle w:val="Style_2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E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E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Нормативы </w:t>
      </w:r>
    </w:p>
    <w:p w14:paraId="EF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малокомплектных образовательных организациях в Камчатском крае на 2024 год</w:t>
      </w:r>
    </w:p>
    <w:p w14:paraId="F0000000">
      <w:pPr>
        <w:spacing w:after="1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913"/>
        <w:gridCol w:w="6662"/>
        <w:gridCol w:w="2060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300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 в год)</w:t>
            </w:r>
          </w:p>
        </w:tc>
      </w:tr>
    </w:tbl>
    <w:p w14:paraId="F6000000">
      <w:pPr>
        <w:spacing w:after="0" w:line="240" w:lineRule="auto"/>
        <w:ind/>
        <w:rPr>
          <w:sz w:val="2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913"/>
        <w:gridCol w:w="6662"/>
        <w:gridCol w:w="2060"/>
      </w:tblGrid>
      <w:tr>
        <w:trPr>
          <w:tblHeader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800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-Большерецкий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/>
                <w:sz w:val="24"/>
              </w:rPr>
              <w:t>Большерецкая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 5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7 612,00000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Соболевский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общеобразовательное казенное учреждение «</w:t>
            </w:r>
            <w:r>
              <w:rPr>
                <w:rFonts w:ascii="Times New Roman" w:hAnsi="Times New Roman"/>
                <w:sz w:val="24"/>
              </w:rPr>
              <w:t>Крутогоровская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3 805,00000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дошкольное образовательное казенное учреждение «Детский сад «Чайка»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 612,00000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Мильковский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округ Камчатского края</w:t>
            </w:r>
          </w:p>
        </w:tc>
      </w:tr>
      <w:tr>
        <w:trPr>
          <w:trHeight w:hRule="atLeast" w:val="559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Атласовская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7 831,00000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Шаромская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3 805,00000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Лазовская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3 805,00000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Долиновская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3 805,00000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Олюторский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4 098,00000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дошкольное образовательное учреждение детский сад «Олененок»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8 195,00000</w:t>
            </w:r>
          </w:p>
        </w:tc>
      </w:tr>
      <w:tr>
        <w:trPr>
          <w:trHeight w:hRule="atLeast" w:val="539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hAnsi="Times New Roman"/>
                <w:sz w:val="24"/>
              </w:rPr>
              <w:t>Северяночка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8 195,00000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дошкольное образовательное учреждение детский сад «Ягодка»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 195,00000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дошкольное образовательное учреждение детский сад «Снежинка»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8 195,00000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8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Карагинский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Ильпырская</w:t>
            </w:r>
            <w:r>
              <w:rPr>
                <w:rFonts w:ascii="Times New Roman" w:hAnsi="Times New Roman"/>
                <w:sz w:val="24"/>
              </w:rPr>
              <w:t xml:space="preserve"> основная школа»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4 098,00000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«Детский сад» с. </w:t>
            </w:r>
            <w:r>
              <w:rPr>
                <w:rFonts w:ascii="Times New Roman" w:hAnsi="Times New Roman"/>
                <w:sz w:val="24"/>
              </w:rPr>
              <w:t>Карага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8 195,00000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8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Тигильский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sz w:val="24"/>
              </w:rPr>
              <w:t>Лесновский</w:t>
            </w:r>
            <w:r>
              <w:rPr>
                <w:rFonts w:ascii="Times New Roman" w:hAnsi="Times New Roman"/>
                <w:sz w:val="24"/>
              </w:rPr>
              <w:t xml:space="preserve"> детский сад «Буратино»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8 195,00000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sz w:val="24"/>
              </w:rPr>
              <w:t>Ковранский</w:t>
            </w:r>
            <w:r>
              <w:rPr>
                <w:rFonts w:ascii="Times New Roman" w:hAnsi="Times New Roman"/>
                <w:sz w:val="24"/>
              </w:rPr>
              <w:t xml:space="preserve"> детский сад «</w:t>
            </w:r>
            <w:r>
              <w:rPr>
                <w:rFonts w:ascii="Times New Roman" w:hAnsi="Times New Roman"/>
                <w:sz w:val="24"/>
              </w:rPr>
              <w:t>Ийаночх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2 293,00000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sz w:val="24"/>
              </w:rPr>
              <w:t>Седанкинский</w:t>
            </w:r>
            <w:r>
              <w:rPr>
                <w:rFonts w:ascii="Times New Roman" w:hAnsi="Times New Roman"/>
                <w:sz w:val="24"/>
              </w:rPr>
              <w:t xml:space="preserve"> детский сад «</w:t>
            </w:r>
            <w:r>
              <w:rPr>
                <w:rFonts w:ascii="Times New Roman" w:hAnsi="Times New Roman"/>
                <w:sz w:val="24"/>
              </w:rPr>
              <w:t>Эльгай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12 293,00000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Хайрюзовская</w:t>
            </w:r>
            <w:r>
              <w:rPr>
                <w:rFonts w:ascii="Times New Roman" w:hAnsi="Times New Roman"/>
                <w:sz w:val="24"/>
              </w:rPr>
              <w:t xml:space="preserve"> начальная школа-детский сад»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8 195,00000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Воямпольская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4 098,00000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8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Пенжинский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Слаутинская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8 400,00000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дошкольное образовательное учреждение «</w:t>
            </w:r>
            <w:r>
              <w:rPr>
                <w:rFonts w:ascii="Times New Roman" w:hAnsi="Times New Roman"/>
                <w:sz w:val="24"/>
              </w:rPr>
              <w:t>Таловский</w:t>
            </w:r>
            <w:r>
              <w:rPr>
                <w:rFonts w:ascii="Times New Roman" w:hAnsi="Times New Roman"/>
                <w:sz w:val="24"/>
              </w:rPr>
              <w:t xml:space="preserve"> детский сад «Солнышко»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 400,00000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Аянкинская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8 </w:t>
            </w:r>
            <w:r>
              <w:rPr>
                <w:rFonts w:ascii="Times New Roman" w:hAnsi="Times New Roman"/>
                <w:sz w:val="24"/>
              </w:rPr>
              <w:t>400</w:t>
            </w:r>
            <w:r>
              <w:rPr>
                <w:rFonts w:ascii="Times New Roman" w:hAnsi="Times New Roman"/>
                <w:sz w:val="24"/>
              </w:rPr>
              <w:t>,00000</w:t>
            </w:r>
          </w:p>
        </w:tc>
      </w:tr>
    </w:tbl>
    <w:p w14:paraId="4A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4B01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4C01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D01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малокомплектных образовательных организациях в Камчатском крае (далее – малокомплектные образовательные организации), включают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и определяется вне зависимости от количества воспитанников.</w:t>
      </w:r>
    </w:p>
    <w:p w14:paraId="4E01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Объем финансового обеспечения государственных гарантий реализации прав на получение общедоступного и бесплатного дошкольного образования в малокомплектных образовательных организациях определен исходя из:</w:t>
      </w:r>
    </w:p>
    <w:p w14:paraId="4F01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нормативных затрат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малокомплектных образовательных организаций;</w:t>
      </w:r>
    </w:p>
    <w:p w14:paraId="5001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нормативных затрат на обеспечение образовательной программы дошкольного образования в малокомплектных образовательных организациях на очередной финансовый год.</w:t>
      </w:r>
    </w:p>
    <w:p w14:paraId="5101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 определении нормативных затрат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малокомплектных образовательных организаций применяются положения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части 3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</w:t>
      </w:r>
      <w:r>
        <w:rPr>
          <w:rFonts w:ascii="Times New Roman" w:hAnsi="Times New Roman"/>
          <w:sz w:val="28"/>
        </w:rPr>
        <w:t>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реализующих образовательные программы дошкольного образования</w:t>
      </w:r>
      <w:r>
        <w:rPr>
          <w:rFonts w:ascii="Times New Roman" w:hAnsi="Times New Roman"/>
          <w:sz w:val="28"/>
        </w:rPr>
        <w:t>), являющейся приложением к приложению 1.</w:t>
      </w:r>
    </w:p>
    <w:p w14:paraId="52010000">
      <w:pPr>
        <w:widowControl w:val="0"/>
        <w:spacing w:after="0" w:before="220" w:line="240" w:lineRule="auto"/>
        <w:ind w:firstLine="0" w:left="540"/>
        <w:contextualSpacing w:val="1"/>
        <w:jc w:val="both"/>
        <w:rPr>
          <w:rFonts w:ascii="Times New Roman" w:hAnsi="Times New Roman"/>
          <w:sz w:val="28"/>
        </w:rPr>
      </w:pPr>
    </w:p>
    <w:p w14:paraId="53010000">
      <w:pPr>
        <w:spacing w:after="0" w:line="240" w:lineRule="auto"/>
        <w:ind w:firstLine="0" w:left="5528"/>
        <w:rPr>
          <w:rFonts w:ascii="Times New Roman" w:hAnsi="Times New Roman"/>
          <w:sz w:val="28"/>
        </w:rPr>
      </w:pPr>
      <w:r>
        <w:br w:type="page"/>
      </w:r>
    </w:p>
    <w:tbl>
      <w:tblPr>
        <w:tblStyle w:val="Style_2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4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5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6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7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801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3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9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A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B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C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D01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E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F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0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1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2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3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4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5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66010000">
      <w:pPr>
        <w:spacing w:after="0" w:line="240" w:lineRule="auto"/>
        <w:ind w:firstLine="0" w:left="5528"/>
        <w:rPr>
          <w:rFonts w:ascii="Times New Roman" w:hAnsi="Times New Roman"/>
          <w:sz w:val="28"/>
        </w:rPr>
      </w:pPr>
    </w:p>
    <w:p w14:paraId="6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801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Нормативы</w:t>
      </w:r>
    </w:p>
    <w:p w14:paraId="6901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в сельских населенных пунктах и реализующих образовательные программы дошкольного образования, в Камчатском крае</w:t>
      </w:r>
    </w:p>
    <w:p w14:paraId="6A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913"/>
        <w:gridCol w:w="6662"/>
        <w:gridCol w:w="2030"/>
      </w:tblGrid>
      <w:tr>
        <w:trPr>
          <w:trHeight w:hRule="atLeast" w:val="461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D01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  <w:p w14:paraId="6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 в год)</w:t>
            </w:r>
          </w:p>
        </w:tc>
      </w:tr>
    </w:tbl>
    <w:p w14:paraId="70010000">
      <w:pPr>
        <w:spacing w:after="0" w:line="240" w:lineRule="auto"/>
        <w:ind/>
        <w:rPr>
          <w:sz w:val="2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913"/>
        <w:gridCol w:w="6662"/>
        <w:gridCol w:w="2075"/>
      </w:tblGrid>
      <w:tr>
        <w:trPr>
          <w:trHeight w:hRule="atLeast" w:val="246"/>
          <w:tblHeader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201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 20 «Антошка»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27 869,00000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 24 «Журавлик»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45 260,00000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 26 «Росинка»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26 628,00000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 27 «Почемучка»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17 642,00000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 28 «</w:t>
            </w:r>
            <w:r>
              <w:rPr>
                <w:rFonts w:ascii="Times New Roman" w:hAnsi="Times New Roman"/>
                <w:sz w:val="24"/>
              </w:rPr>
              <w:t>Рябинушка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23 494,00000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 31 «Солнышко»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25 913,00000</w:t>
            </w:r>
          </w:p>
        </w:tc>
      </w:tr>
      <w:tr>
        <w:trPr>
          <w:trHeight w:hRule="atLeast" w:val="291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 36 «Ручеек»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22 834,00000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№ 37 «Белочка»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39 528,00000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Лесновская</w:t>
            </w:r>
            <w:r>
              <w:rPr>
                <w:rFonts w:ascii="Times New Roman" w:hAnsi="Times New Roman"/>
                <w:sz w:val="24"/>
              </w:rPr>
              <w:t xml:space="preserve"> основная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1 417,00000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Начикинская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1 417,00000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Паратунская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5 222,00000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«Сосновская начальная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13 836,00000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Термальненская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 имени Героя Российской Федерации Александра Николаевича Попова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15 442,00000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-Камчатский муниципальный район</w:t>
            </w:r>
          </w:p>
        </w:tc>
      </w:tr>
      <w:tr>
        <w:trPr>
          <w:trHeight w:hRule="atLeast" w:val="776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№ 6 детский сад общеразвивающего вида «Снежинка»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0 446,00000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№ 8 детский сад «Ромашка»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19 548,00000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№ 9 детский сад «Елочка»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6 280,00000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 xml:space="preserve">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</w:t>
            </w:r>
            <w:r>
              <w:rPr>
                <w:rFonts w:ascii="Times New Roman" w:hAnsi="Times New Roman"/>
                <w:sz w:val="24"/>
              </w:rPr>
              <w:t xml:space="preserve">Средняя школа № 6 п. </w:t>
            </w:r>
            <w:r>
              <w:rPr>
                <w:rFonts w:ascii="Times New Roman" w:hAnsi="Times New Roman"/>
                <w:sz w:val="24"/>
              </w:rPr>
              <w:t>Козыревск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9 029,00000</w:t>
            </w:r>
          </w:p>
        </w:tc>
      </w:tr>
      <w:tr>
        <w:trPr>
          <w:trHeight w:hRule="atLeast" w:val="582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№ 40 детский сад «Золотой ключик»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60 181,00000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-Большерецкий муниципальный район</w:t>
            </w:r>
          </w:p>
        </w:tc>
      </w:tr>
      <w:tr>
        <w:trPr>
          <w:trHeight w:hRule="atLeast" w:val="633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образовательное учреждение Запорожская начальная общеобразовательная школа-детский сад № 9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1 417,00000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детский сад «Ромашка» комбинированного вида 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3 670,00000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«Чебурашка» комбинированного вида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40 884,00000</w:t>
            </w:r>
          </w:p>
        </w:tc>
      </w:tr>
      <w:tr>
        <w:trPr>
          <w:trHeight w:hRule="atLeast" w:val="5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«Берёзка» комбинированного вида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43 807,00000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дошкольное образовательное учреждение детский сад «Светлячок» комбинированного вида Усть-Большерецкого муниципального района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30 094,00000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Соболевский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дошкольное образовательное казенное учреждение «Детский сад «Солнышко»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19 029,00000</w:t>
            </w:r>
          </w:p>
        </w:tc>
      </w:tr>
      <w:tr>
        <w:trPr>
          <w:trHeight w:hRule="atLeast" w:val="108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Мильковский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округ Камчатского края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«Ручеёк»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 612,00000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«Тополёк»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 029,00000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2 743,00000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Быстринский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 «Брусничка»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0 664,00000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«Родничок»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29 380,00000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Алеутский муниципальный округ в Камчатском крае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«Никольский детский сад»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21 950,00000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Олюторский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Тиличикская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 594,00000</w:t>
            </w:r>
          </w:p>
        </w:tc>
      </w:tr>
      <w:tr>
        <w:trPr>
          <w:trHeight w:hRule="atLeast" w:val="46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Хаилинская</w:t>
            </w:r>
            <w:r>
              <w:rPr>
                <w:rFonts w:ascii="Times New Roman" w:hAnsi="Times New Roman"/>
                <w:sz w:val="24"/>
              </w:rPr>
              <w:t xml:space="preserve">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2 297,00000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Карагинский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«Детский сад № 1» п. </w:t>
            </w:r>
            <w:r>
              <w:rPr>
                <w:rFonts w:ascii="Times New Roman" w:hAnsi="Times New Roman"/>
                <w:sz w:val="24"/>
              </w:rPr>
              <w:t>Оссора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 594,00000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«Детский сад» с. Ивашка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2 297,00000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«Детский сад» с. </w:t>
            </w:r>
            <w:r>
              <w:rPr>
                <w:rFonts w:ascii="Times New Roman" w:hAnsi="Times New Roman"/>
                <w:sz w:val="24"/>
              </w:rPr>
              <w:t>Тымлат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6 396,00000</w:t>
            </w:r>
          </w:p>
        </w:tc>
      </w:tr>
      <w:tr>
        <w:trPr>
          <w:trHeight w:hRule="atLeast" w:val="51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Тигильский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/>
                <w:sz w:val="24"/>
              </w:rPr>
              <w:t>Тигильский</w:t>
            </w:r>
            <w:r>
              <w:rPr>
                <w:rFonts w:ascii="Times New Roman" w:hAnsi="Times New Roman"/>
                <w:sz w:val="24"/>
              </w:rPr>
              <w:t xml:space="preserve"> детский сад «</w:t>
            </w:r>
            <w:r>
              <w:rPr>
                <w:rFonts w:ascii="Times New Roman" w:hAnsi="Times New Roman"/>
                <w:sz w:val="24"/>
              </w:rPr>
              <w:t>Каюмка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5 264,00000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Усть-Хайрюзовская</w:t>
            </w:r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6 396,00000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Пенжинский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</w:tr>
      <w:tr>
        <w:trPr>
          <w:trHeight w:hRule="atLeast" w:val="3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дошкольное образовательное учреждение «Манильский детский сад «Олешек»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6 396,00000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дошкольное образовательное учреждение «Каменский детский сад «Теремок»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6 805,00000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«Манильская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 508,00000</w:t>
            </w:r>
            <w:bookmarkStart w:id="3" w:name="_GoBack"/>
            <w:bookmarkEnd w:id="3"/>
          </w:p>
        </w:tc>
      </w:tr>
    </w:tbl>
    <w:p w14:paraId="0202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03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04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502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Нормативы 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в сельских населенных пунктах и реализующих образовательные программы дошкольного образования, в Камчатском крае (далее – сельские образовательные организации), включают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и определяются вне зависимости от количества воспитанников.</w:t>
      </w:r>
    </w:p>
    <w:p w14:paraId="0602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Объем финансового обеспечения государственных гарантий реализации прав на получение общедоступного и бесплатного дошкольного образования в сельских образовательных организациях определен исходя из:</w:t>
      </w:r>
    </w:p>
    <w:p w14:paraId="0702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нормативных затрат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сельских образовательных организаций;</w:t>
      </w:r>
    </w:p>
    <w:p w14:paraId="0802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нормативных затрат на обеспечение образовательной программы </w:t>
      </w:r>
      <w:r>
        <w:rPr>
          <w:rFonts w:ascii="Times New Roman" w:hAnsi="Times New Roman"/>
          <w:sz w:val="28"/>
        </w:rPr>
        <w:t>дошкольного образования в сельских образовательных организациях на очередной финансовый год.</w:t>
      </w:r>
    </w:p>
    <w:p w14:paraId="0902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 определении нормативных затрат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сельских образовательных организаций применяются положения части 3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реализующих образовательные программы дошкольного образования</w:t>
      </w:r>
      <w:r>
        <w:rPr>
          <w:rFonts w:ascii="Times New Roman" w:hAnsi="Times New Roman"/>
          <w:sz w:val="28"/>
        </w:rPr>
        <w:t>), являющейся приложением к приложению 1.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</w:rPr>
  </w:style>
  <w:style w:styleId="Style_8_ch" w:type="character">
    <w:name w:val="Endnote"/>
    <w:link w:val="Style_8"/>
    <w:rPr>
      <w:rFonts w:ascii="XO Thames" w:hAnsi="XO Thames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Основной шрифт абзаца2"/>
    <w:link w:val="Style_14_ch"/>
  </w:style>
  <w:style w:styleId="Style_14_ch" w:type="character">
    <w:name w:val="Основной шрифт абзаца2"/>
    <w:link w:val="Style_14"/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Balloon Text"/>
    <w:basedOn w:val="Style_3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3_ch"/>
    <w:link w:val="Style_17"/>
    <w:rPr>
      <w:rFonts w:ascii="Segoe UI" w:hAnsi="Segoe UI"/>
      <w:sz w:val="18"/>
    </w:rPr>
  </w:style>
  <w:style w:styleId="Style_18" w:type="paragraph">
    <w:name w:val="toc 3"/>
    <w:next w:val="Style_3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footer"/>
    <w:basedOn w:val="Style_3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3_ch"/>
    <w:link w:val="Style_19"/>
    <w:rPr>
      <w:rFonts w:ascii="Times New Roman" w:hAnsi="Times New Roman"/>
      <w:sz w:val="28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heading 1"/>
    <w:next w:val="Style_3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head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header"/>
    <w:basedOn w:val="Style_3_ch"/>
    <w:link w:val="Style_25"/>
  </w:style>
  <w:style w:styleId="Style_26" w:type="paragraph">
    <w:name w:val="toc 1"/>
    <w:next w:val="Style_3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Основной шрифт абзаца2"/>
    <w:link w:val="Style_28_ch"/>
  </w:style>
  <w:style w:styleId="Style_28_ch" w:type="character">
    <w:name w:val="Основной шрифт абзаца2"/>
    <w:link w:val="Style_28"/>
  </w:style>
  <w:style w:styleId="Style_29" w:type="paragraph">
    <w:name w:val="toc 9"/>
    <w:next w:val="Style_3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3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toc 5"/>
    <w:next w:val="Style_3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Гиперссылка3"/>
    <w:link w:val="Style_34_ch"/>
    <w:rPr>
      <w:color w:val="0000FF"/>
      <w:u w:val="single"/>
    </w:rPr>
  </w:style>
  <w:style w:styleId="Style_34_ch" w:type="character">
    <w:name w:val="Гиперссылка3"/>
    <w:link w:val="Style_34"/>
    <w:rPr>
      <w:color w:val="0000FF"/>
      <w:u w:val="single"/>
    </w:rPr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Гиперссылка1"/>
    <w:basedOn w:val="Style_12"/>
    <w:link w:val="Style_36_ch"/>
    <w:rPr>
      <w:color w:themeColor="hyperlink" w:val="0563C1"/>
      <w:u w:val="single"/>
    </w:rPr>
  </w:style>
  <w:style w:styleId="Style_36_ch" w:type="character">
    <w:name w:val="Гиперссылка1"/>
    <w:basedOn w:val="Style_12_ch"/>
    <w:link w:val="Style_36"/>
    <w:rPr>
      <w:color w:themeColor="hyperlink" w:val="0563C1"/>
      <w:u w:val="single"/>
    </w:rPr>
  </w:style>
  <w:style w:styleId="Style_37" w:type="paragraph">
    <w:name w:val="Гиперссылка2"/>
    <w:link w:val="Style_37_ch"/>
    <w:rPr>
      <w:color w:val="0000FF"/>
      <w:u w:val="single"/>
    </w:rPr>
  </w:style>
  <w:style w:styleId="Style_37_ch" w:type="character">
    <w:name w:val="Гиперссылка2"/>
    <w:link w:val="Style_37"/>
    <w:rPr>
      <w:color w:val="0000FF"/>
      <w:u w:val="single"/>
    </w:rPr>
  </w:style>
  <w:style w:styleId="Style_38" w:type="paragraph">
    <w:name w:val="Title"/>
    <w:next w:val="Style_3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3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Обычный1"/>
    <w:link w:val="Style_41_ch"/>
  </w:style>
  <w:style w:styleId="Style_41_ch" w:type="character">
    <w:name w:val="Обычный1"/>
    <w:link w:val="Style_41"/>
  </w:style>
  <w:style w:styleId="Style_42" w:type="paragraph">
    <w:name w:val="Основной шрифт абзаца3"/>
    <w:link w:val="Style_42_ch"/>
  </w:style>
  <w:style w:styleId="Style_42_ch" w:type="character">
    <w:name w:val="Основной шрифт абзаца3"/>
    <w:link w:val="Style_42"/>
  </w:style>
  <w:style w:styleId="Style_43" w:type="paragraph">
    <w:name w:val="heading 2"/>
    <w:next w:val="Style_3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styleId="Style_44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2024-04-07T22:37:35Z</dcterms:modified>
</cp:coreProperties>
</file>