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ind/>
        <w:jc w:val="center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>Об итогах работы Центра поддержки экспорта Камчатского края за 2023 год, план работы на 2024 год</w:t>
      </w:r>
    </w:p>
    <w:p w14:paraId="02000000">
      <w:pPr>
        <w:ind w:firstLine="708" w:left="0"/>
        <w:rPr>
          <w:rFonts w:ascii="Times New Roman" w:hAnsi="Times New Roman"/>
        </w:rPr>
      </w:pPr>
    </w:p>
    <w:p w14:paraId="03000000">
      <w:pPr>
        <w:ind w:firstLine="708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Центр поддержки экспорта (далее – Центр) </w:t>
      </w:r>
      <w:r>
        <w:rPr>
          <w:rFonts w:ascii="Times New Roman" w:hAnsi="Times New Roman"/>
        </w:rPr>
        <w:t xml:space="preserve">создан в 2018 году для оказания поддержки действующим экспортерам, занятых в малом и среднем предпринимательстве, а также, вовлечение в экспортную деятельность предпринимателей, которые занимаются производством или оказывают услуги. </w:t>
      </w:r>
    </w:p>
    <w:p w14:paraId="04000000">
      <w:pPr>
        <w:ind w:firstLine="708" w:left="0"/>
        <w:rPr>
          <w:rFonts w:ascii="Times New Roman" w:hAnsi="Times New Roman"/>
        </w:rPr>
      </w:pPr>
    </w:p>
    <w:p w14:paraId="05000000">
      <w:pPr>
        <w:ind w:firstLine="708" w:left="0"/>
        <w:rPr>
          <w:rFonts w:ascii="Times New Roman" w:hAnsi="Times New Roman"/>
        </w:rPr>
      </w:pPr>
      <w:r>
        <w:rPr>
          <w:rFonts w:ascii="Times New Roman" w:hAnsi="Times New Roman"/>
        </w:rPr>
        <w:t>В плане работы Центра</w:t>
      </w:r>
      <w:r>
        <w:rPr>
          <w:rFonts w:ascii="Times New Roman" w:hAnsi="Times New Roman"/>
        </w:rPr>
        <w:t xml:space="preserve"> на 2023 год стояли </w:t>
      </w:r>
      <w:r>
        <w:rPr>
          <w:rFonts w:ascii="Times New Roman" w:hAnsi="Times New Roman"/>
          <w:b w:val="1"/>
          <w:i w:val="1"/>
        </w:rPr>
        <w:t>задачи:</w:t>
      </w:r>
      <w:r>
        <w:rPr>
          <w:rFonts w:ascii="Times New Roman" w:hAnsi="Times New Roman"/>
        </w:rPr>
        <w:t xml:space="preserve"> выявление и устранение основных барьеров в части осуществления экспортной деятельности, а также, выработка мер по активизации экспортной деятельности.</w:t>
      </w:r>
    </w:p>
    <w:p w14:paraId="06000000">
      <w:pPr>
        <w:ind w:firstLine="708" w:left="0"/>
        <w:rPr>
          <w:rFonts w:ascii="Times New Roman" w:hAnsi="Times New Roman"/>
        </w:rPr>
      </w:pPr>
      <w:r>
        <w:rPr>
          <w:rFonts w:ascii="Times New Roman" w:hAnsi="Times New Roman"/>
        </w:rPr>
        <w:t>По первой задаче в функционал Центра была включена деятельность по сбору инфо</w:t>
      </w:r>
      <w:r>
        <w:rPr>
          <w:rFonts w:ascii="Times New Roman" w:hAnsi="Times New Roman"/>
        </w:rPr>
        <w:t xml:space="preserve">рмации о возникающих сложностях с экспортом и импортом товаров (ввиду </w:t>
      </w:r>
      <w:r>
        <w:rPr>
          <w:rFonts w:ascii="Times New Roman" w:hAnsi="Times New Roman"/>
        </w:rPr>
        <w:t>санкционной</w:t>
      </w:r>
      <w:r>
        <w:rPr>
          <w:rFonts w:ascii="Times New Roman" w:hAnsi="Times New Roman"/>
        </w:rPr>
        <w:t xml:space="preserve"> политики, проводимой в отношении Российской Федерации). </w:t>
      </w:r>
    </w:p>
    <w:p w14:paraId="07000000">
      <w:pPr>
        <w:ind w:firstLine="708" w:left="0"/>
        <w:rPr>
          <w:rFonts w:ascii="Times New Roman" w:hAnsi="Times New Roman"/>
        </w:rPr>
      </w:pPr>
      <w:r>
        <w:rPr>
          <w:rFonts w:ascii="Times New Roman" w:hAnsi="Times New Roman"/>
        </w:rPr>
        <w:t>Весь 2023 год Центр обеспечивал функцию «единого окна» по сбору информации о проблемах, с которыми сталкиваются экспо</w:t>
      </w:r>
      <w:r>
        <w:rPr>
          <w:rFonts w:ascii="Times New Roman" w:hAnsi="Times New Roman"/>
        </w:rPr>
        <w:t xml:space="preserve">ртёры, о сырье, оборудовании и комплектующих для производства экспортируемых товаров, ранее импортировавшихся из стран, присоединившихся к санкциям. </w:t>
      </w:r>
    </w:p>
    <w:p w14:paraId="08000000">
      <w:pPr>
        <w:ind w:firstLine="708" w:left="0"/>
        <w:rPr>
          <w:rFonts w:ascii="Times New Roman" w:hAnsi="Times New Roman"/>
        </w:rPr>
      </w:pPr>
      <w:r>
        <w:rPr>
          <w:rFonts w:ascii="Times New Roman" w:hAnsi="Times New Roman"/>
        </w:rPr>
        <w:t>Центром была размещена информация на своем сайте, соцсетях, а также в информационном ресурсе Контента в ко</w:t>
      </w:r>
      <w:r>
        <w:rPr>
          <w:rFonts w:ascii="Times New Roman" w:hAnsi="Times New Roman"/>
        </w:rPr>
        <w:t>личестве 293 публикаций по различным тематикам: от информирования бизнес-сообщества об инструментах, позволяющих преодолеть санкции, презентаций новых сервисов и продуктов по субсидированию затрат, информации о дружественных странах, готовых продвигать про</w:t>
      </w:r>
      <w:r>
        <w:rPr>
          <w:rFonts w:ascii="Times New Roman" w:hAnsi="Times New Roman"/>
        </w:rPr>
        <w:t>дукцию и услуги Камчатского края, до международных консультаций в разных странах с привлечением представителей разных структур и банков-партнеров. Кроме того, за 2023 год проведено порядка 15 встреч как в формате личного общения, так и в формате видеоконфе</w:t>
      </w:r>
      <w:r>
        <w:rPr>
          <w:rFonts w:ascii="Times New Roman" w:hAnsi="Times New Roman"/>
        </w:rPr>
        <w:t xml:space="preserve">ренций. </w:t>
      </w:r>
    </w:p>
    <w:p w14:paraId="09000000">
      <w:pPr>
        <w:ind w:firstLine="708" w:left="0"/>
        <w:rPr>
          <w:rFonts w:ascii="Times New Roman" w:hAnsi="Times New Roman"/>
        </w:rPr>
      </w:pPr>
      <w:r>
        <w:rPr>
          <w:rFonts w:ascii="Times New Roman" w:hAnsi="Times New Roman"/>
        </w:rPr>
        <w:t>В рамках организации информационно-консультационных мероприятий для экспортеров и экспортно ориентированных субъектов малого и среднего предпринимательства (далее – МСП) по выходу на новые рынки зарубежных стран совместно с АО «РЭЦ» и Торговыми пр</w:t>
      </w:r>
      <w:r>
        <w:rPr>
          <w:rFonts w:ascii="Times New Roman" w:hAnsi="Times New Roman"/>
        </w:rPr>
        <w:t xml:space="preserve">едставителями Российской Федерации за рубежом оказаны консультации по поиску потенциального партнера в Турции, Корее и Вьетнаме. Организованы и проведены все 11 семинаров Школы экспорта АО «РЭЦ», в которых приняли участие 21 уникальный предприниматель. </w:t>
      </w:r>
    </w:p>
    <w:p w14:paraId="0A000000">
      <w:pPr>
        <w:ind w:firstLine="708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</w:t>
      </w:r>
      <w:r>
        <w:rPr>
          <w:rFonts w:ascii="Times New Roman" w:hAnsi="Times New Roman"/>
        </w:rPr>
        <w:t>рамках выработки мер по активизации экспортной деятельности:</w:t>
      </w:r>
    </w:p>
    <w:p w14:paraId="0B000000">
      <w:pPr>
        <w:ind w:firstLine="708" w:left="0"/>
        <w:rPr>
          <w:rFonts w:ascii="Times New Roman" w:hAnsi="Times New Roman"/>
        </w:rPr>
      </w:pPr>
      <w:r>
        <w:rPr>
          <w:rFonts w:ascii="Times New Roman" w:hAnsi="Times New Roman"/>
        </w:rPr>
        <w:t>В целях продвижения товаров (услуг) Камчатского края на международных электронных торговых площадках (далее – ЭТП) на ЭТП LiveMaster.ru размещено 5 компаний.</w:t>
      </w:r>
    </w:p>
    <w:p w14:paraId="0C000000">
      <w:pPr>
        <w:ind w:firstLine="708" w:left="0"/>
        <w:rPr>
          <w:rFonts w:ascii="Times New Roman" w:hAnsi="Times New Roman"/>
        </w:rPr>
      </w:pPr>
      <w:r>
        <w:rPr>
          <w:rFonts w:ascii="Times New Roman" w:hAnsi="Times New Roman"/>
        </w:rPr>
        <w:t>Представители камчатских компаний при</w:t>
      </w:r>
      <w:r>
        <w:rPr>
          <w:rFonts w:ascii="Times New Roman" w:hAnsi="Times New Roman"/>
        </w:rPr>
        <w:t>нимали участие в следующих международных мероприятиях:</w:t>
      </w:r>
    </w:p>
    <w:p w14:paraId="0D000000">
      <w:pPr>
        <w:ind w:firstLine="708" w:left="0"/>
        <w:rPr>
          <w:rFonts w:ascii="Times New Roman" w:hAnsi="Times New Roman"/>
        </w:rPr>
      </w:pPr>
      <w:r>
        <w:rPr>
          <w:rFonts w:ascii="Times New Roman" w:hAnsi="Times New Roman"/>
        </w:rPr>
        <w:t>1) международная туристическая выставка туризма и индустрии гостеприимства MITT-2023 на коллективном стенде с 16 по 18 марта 2023 года в Москве;</w:t>
      </w:r>
    </w:p>
    <w:p w14:paraId="0E000000">
      <w:pPr>
        <w:ind w:firstLine="708" w:left="0"/>
        <w:rPr>
          <w:rFonts w:ascii="Times New Roman" w:hAnsi="Times New Roman"/>
        </w:rPr>
      </w:pPr>
      <w:r>
        <w:rPr>
          <w:rFonts w:ascii="Times New Roman" w:hAnsi="Times New Roman"/>
        </w:rPr>
        <w:t>2) презентация Камчатского края в МИД России (4 апреля 2</w:t>
      </w:r>
      <w:r>
        <w:rPr>
          <w:rFonts w:ascii="Times New Roman" w:hAnsi="Times New Roman"/>
        </w:rPr>
        <w:t>023 года);</w:t>
      </w:r>
    </w:p>
    <w:p w14:paraId="0F000000">
      <w:pPr>
        <w:ind w:firstLine="708" w:left="0"/>
        <w:rPr>
          <w:rFonts w:ascii="Times New Roman" w:hAnsi="Times New Roman"/>
        </w:rPr>
      </w:pPr>
      <w:r>
        <w:rPr>
          <w:rFonts w:ascii="Times New Roman" w:hAnsi="Times New Roman"/>
        </w:rPr>
        <w:t>3) международная туристическая выставка CITIE-GD с 15 по 17 сентября 2023 года для 8 субъектов МСП на коллективном стенде в Китае (Гуанчжоу);</w:t>
      </w:r>
    </w:p>
    <w:p w14:paraId="10000000">
      <w:pPr>
        <w:ind w:firstLine="708" w:left="0"/>
        <w:rPr>
          <w:rFonts w:ascii="Times New Roman" w:hAnsi="Times New Roman"/>
        </w:rPr>
      </w:pPr>
      <w:r>
        <w:rPr>
          <w:rFonts w:ascii="Times New Roman" w:hAnsi="Times New Roman"/>
        </w:rPr>
        <w:t>4) международная выставка Seafood Expo Russia с 27 по 29 октября 2023 года для 5 субъектов МСП на колле</w:t>
      </w:r>
      <w:r>
        <w:rPr>
          <w:rFonts w:ascii="Times New Roman" w:hAnsi="Times New Roman"/>
        </w:rPr>
        <w:t>ктивном стенде в г. Санкт-Петербурге;</w:t>
      </w:r>
    </w:p>
    <w:p w14:paraId="11000000">
      <w:pPr>
        <w:ind w:firstLine="708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5) международная выставка China </w:t>
      </w:r>
      <w:r>
        <w:rPr>
          <w:rFonts w:ascii="Times New Roman" w:hAnsi="Times New Roman"/>
        </w:rPr>
        <w:t>Fisheries</w:t>
      </w:r>
      <w:r>
        <w:rPr>
          <w:rFonts w:ascii="Times New Roman" w:hAnsi="Times New Roman"/>
        </w:rPr>
        <w:t xml:space="preserve"> Seafood с 25 по 27 октября 2023 года для 6 субъектов МСП на коллективном стенде в г. Циндао (Китай). При этом в рамках организации участия руководства Камчатского края в бизнес</w:t>
      </w:r>
      <w:r>
        <w:rPr>
          <w:rFonts w:ascii="Times New Roman" w:hAnsi="Times New Roman"/>
        </w:rPr>
        <w:t xml:space="preserve">-миссиях за рубежом Центром 25 октября 2023 года оказано содействие в организации бизнес-миссии в КНР (г. Циндао) и в организации переговоров на площадке международной выставки China </w:t>
      </w:r>
      <w:r>
        <w:rPr>
          <w:rFonts w:ascii="Times New Roman" w:hAnsi="Times New Roman"/>
        </w:rPr>
        <w:t>Fisheries</w:t>
      </w:r>
      <w:r>
        <w:rPr>
          <w:rFonts w:ascii="Times New Roman" w:hAnsi="Times New Roman"/>
        </w:rPr>
        <w:t xml:space="preserve"> Seafood с компаниями </w:t>
      </w:r>
      <w:r>
        <w:rPr>
          <w:rFonts w:ascii="Times New Roman" w:hAnsi="Times New Roman"/>
        </w:rPr>
        <w:t>Dalian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Rich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Enterpreprise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Group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Co</w:t>
      </w:r>
      <w:r>
        <w:rPr>
          <w:rFonts w:ascii="Times New Roman" w:hAnsi="Times New Roman"/>
        </w:rPr>
        <w:t xml:space="preserve">., </w:t>
      </w:r>
      <w:r>
        <w:rPr>
          <w:rFonts w:ascii="Times New Roman" w:hAnsi="Times New Roman"/>
        </w:rPr>
        <w:t>Ltd</w:t>
      </w:r>
      <w:r>
        <w:rPr>
          <w:rFonts w:ascii="Times New Roman" w:hAnsi="Times New Roman"/>
        </w:rPr>
        <w:t xml:space="preserve"> (</w:t>
      </w:r>
      <w:r>
        <w:rPr>
          <w:rFonts w:ascii="Times New Roman" w:hAnsi="Times New Roman"/>
        </w:rPr>
        <w:t>Mr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Deng</w:t>
      </w:r>
      <w:r>
        <w:rPr>
          <w:rFonts w:ascii="Times New Roman" w:hAnsi="Times New Roman"/>
        </w:rPr>
        <w:t xml:space="preserve"> (президент)) по вопросам закупки рыбопродукции с Камчатки и </w:t>
      </w:r>
      <w:r>
        <w:rPr>
          <w:rFonts w:ascii="Times New Roman" w:hAnsi="Times New Roman"/>
        </w:rPr>
        <w:t>East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Stream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Co</w:t>
      </w:r>
      <w:r>
        <w:rPr>
          <w:rFonts w:ascii="Times New Roman" w:hAnsi="Times New Roman"/>
        </w:rPr>
        <w:t xml:space="preserve">., </w:t>
      </w:r>
      <w:r>
        <w:rPr>
          <w:rFonts w:ascii="Times New Roman" w:hAnsi="Times New Roman"/>
        </w:rPr>
        <w:t>Ltd</w:t>
      </w:r>
      <w:r>
        <w:rPr>
          <w:rFonts w:ascii="Times New Roman" w:hAnsi="Times New Roman"/>
        </w:rPr>
        <w:t xml:space="preserve"> по поставкам производственного оборудования и компаниями-рыбопромышленниками, принимающими участие в выставке.</w:t>
      </w:r>
    </w:p>
    <w:p w14:paraId="12000000">
      <w:pPr>
        <w:ind w:firstLine="708" w:left="0"/>
        <w:rPr>
          <w:rFonts w:ascii="Times New Roman" w:hAnsi="Times New Roman"/>
        </w:rPr>
      </w:pPr>
      <w:r>
        <w:rPr>
          <w:rFonts w:ascii="Times New Roman" w:hAnsi="Times New Roman"/>
        </w:rPr>
        <w:t>В 2023 году Центром организованы и проведены презентаци</w:t>
      </w:r>
      <w:r>
        <w:rPr>
          <w:rFonts w:ascii="Times New Roman" w:hAnsi="Times New Roman"/>
        </w:rPr>
        <w:t xml:space="preserve">и новинок товаров/услуг предпринимателей в рамках заседаний Рабочих групп по улучшению инвестиционного климата по направлению «Экспорт» в количестве 5 встреч. </w:t>
      </w:r>
    </w:p>
    <w:p w14:paraId="13000000">
      <w:pPr>
        <w:ind w:firstLine="708" w:left="0"/>
        <w:rPr>
          <w:rFonts w:ascii="Times New Roman" w:hAnsi="Times New Roman"/>
        </w:rPr>
      </w:pPr>
      <w:r>
        <w:rPr>
          <w:rFonts w:ascii="Times New Roman" w:hAnsi="Times New Roman"/>
        </w:rPr>
        <w:t>По итогам работы Центра в 2023 году исполнены показатели Национального проекта «Акселерация субъ</w:t>
      </w:r>
      <w:r>
        <w:rPr>
          <w:rFonts w:ascii="Times New Roman" w:hAnsi="Times New Roman"/>
        </w:rPr>
        <w:t xml:space="preserve">ектов МСП». </w:t>
      </w:r>
    </w:p>
    <w:p w14:paraId="14000000">
      <w:pPr>
        <w:ind w:firstLine="708" w:left="0"/>
        <w:rPr>
          <w:rFonts w:ascii="Times New Roman" w:hAnsi="Times New Roman"/>
        </w:rPr>
      </w:pPr>
      <w:r>
        <w:rPr>
          <w:rFonts w:ascii="Times New Roman" w:hAnsi="Times New Roman"/>
          <w:b w:val="1"/>
          <w:i w:val="1"/>
        </w:rPr>
        <w:t>15 экспортерами</w:t>
      </w:r>
      <w:r>
        <w:rPr>
          <w:rFonts w:ascii="Times New Roman" w:hAnsi="Times New Roman"/>
        </w:rPr>
        <w:t xml:space="preserve"> заключены </w:t>
      </w:r>
      <w:r>
        <w:rPr>
          <w:rFonts w:ascii="Times New Roman" w:hAnsi="Times New Roman"/>
          <w:b w:val="1"/>
          <w:i w:val="1"/>
        </w:rPr>
        <w:t>35 экспортных контрактов</w:t>
      </w:r>
      <w:r>
        <w:rPr>
          <w:rFonts w:ascii="Times New Roman" w:hAnsi="Times New Roman"/>
        </w:rPr>
        <w:t xml:space="preserve"> с контрагентами из </w:t>
      </w:r>
      <w:r>
        <w:rPr>
          <w:rFonts w:ascii="Times New Roman" w:hAnsi="Times New Roman"/>
          <w:b w:val="1"/>
          <w:i w:val="1"/>
        </w:rPr>
        <w:t>9 стран:</w:t>
      </w:r>
      <w:r>
        <w:rPr>
          <w:rFonts w:ascii="Times New Roman" w:hAnsi="Times New Roman"/>
        </w:rPr>
        <w:t xml:space="preserve"> Китай, Корея, Япония, Узбекистан, Казахстан, Беларусь, Индия, Азербайджан и Сербия </w:t>
      </w:r>
      <w:r>
        <w:rPr>
          <w:rFonts w:ascii="Times New Roman" w:hAnsi="Times New Roman"/>
          <w:b w:val="1"/>
          <w:i w:val="1"/>
        </w:rPr>
        <w:t>на сумму 6,10893 долл. США</w:t>
      </w:r>
      <w:r>
        <w:rPr>
          <w:rFonts w:ascii="Times New Roman" w:hAnsi="Times New Roman"/>
        </w:rPr>
        <w:t xml:space="preserve">. Данные контракты приняты и согласованы АО «РЭЦ», что </w:t>
      </w:r>
      <w:r>
        <w:rPr>
          <w:rFonts w:ascii="Times New Roman" w:hAnsi="Times New Roman"/>
        </w:rPr>
        <w:t xml:space="preserve">закреплено в протоколе № 1 от 8 февраля 2024 года. Из них: </w:t>
      </w:r>
    </w:p>
    <w:p w14:paraId="15000000">
      <w:pPr>
        <w:ind w:firstLine="708" w:left="0"/>
        <w:rPr>
          <w:rFonts w:ascii="Times New Roman" w:hAnsi="Times New Roman"/>
        </w:rPr>
      </w:pPr>
      <w:r>
        <w:rPr>
          <w:rFonts w:ascii="Times New Roman" w:hAnsi="Times New Roman"/>
        </w:rPr>
        <w:t>– 9 контрактов заключено в сфере туризма;</w:t>
      </w:r>
    </w:p>
    <w:p w14:paraId="16000000">
      <w:pPr>
        <w:ind w:firstLine="708" w:left="0"/>
        <w:rPr>
          <w:rFonts w:ascii="Times New Roman" w:hAnsi="Times New Roman"/>
        </w:rPr>
      </w:pPr>
      <w:r>
        <w:rPr>
          <w:rFonts w:ascii="Times New Roman" w:hAnsi="Times New Roman"/>
        </w:rPr>
        <w:t>– 5 контракта в сфере рыбопромышленного комплекса;</w:t>
      </w:r>
    </w:p>
    <w:p w14:paraId="17000000">
      <w:pPr>
        <w:ind w:firstLine="708" w:left="0"/>
        <w:rPr>
          <w:rFonts w:ascii="Times New Roman" w:hAnsi="Times New Roman"/>
        </w:rPr>
      </w:pPr>
      <w:r>
        <w:rPr>
          <w:rFonts w:ascii="Times New Roman" w:hAnsi="Times New Roman"/>
        </w:rPr>
        <w:t>– 2 контракта в сфере пищевой и косметической отрасли.</w:t>
      </w:r>
    </w:p>
    <w:p w14:paraId="18000000">
      <w:pPr>
        <w:ind w:firstLine="708" w:left="0"/>
        <w:rPr>
          <w:rFonts w:ascii="Times New Roman" w:hAnsi="Times New Roman"/>
        </w:rPr>
      </w:pPr>
      <w:r>
        <w:rPr>
          <w:rFonts w:ascii="Times New Roman" w:hAnsi="Times New Roman"/>
        </w:rPr>
        <w:t>АО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«РЭЦ» проводит свою оценку работы центров под</w:t>
      </w:r>
      <w:r>
        <w:rPr>
          <w:rFonts w:ascii="Times New Roman" w:hAnsi="Times New Roman"/>
        </w:rPr>
        <w:t xml:space="preserve">держки экспорта формирует рейтинг. Так, по итогам работы Центра в 2023 году он поднялся на 21 пункт и теперь занимает 45 место. </w:t>
      </w:r>
    </w:p>
    <w:p w14:paraId="19000000">
      <w:pPr>
        <w:ind w:firstLine="708" w:left="0"/>
        <w:rPr>
          <w:rFonts w:ascii="Times New Roman" w:hAnsi="Times New Roman"/>
          <w:i w:val="1"/>
        </w:rPr>
      </w:pPr>
    </w:p>
    <w:p w14:paraId="1A000000">
      <w:pPr>
        <w:ind w:firstLine="708" w:left="0"/>
        <w:rPr>
          <w:rFonts w:ascii="Times New Roman" w:hAnsi="Times New Roman"/>
          <w:i w:val="1"/>
        </w:rPr>
      </w:pPr>
      <w:r>
        <w:rPr>
          <w:rFonts w:ascii="Times New Roman" w:hAnsi="Times New Roman"/>
          <w:i w:val="1"/>
        </w:rPr>
        <w:t>Справочно:</w:t>
      </w:r>
    </w:p>
    <w:p w14:paraId="1B000000">
      <w:pPr>
        <w:ind w:firstLine="708" w:left="0"/>
        <w:rPr>
          <w:rFonts w:ascii="Times New Roman" w:hAnsi="Times New Roman"/>
        </w:rPr>
      </w:pPr>
      <w:r>
        <w:rPr>
          <w:rFonts w:ascii="Times New Roman" w:hAnsi="Times New Roman"/>
        </w:rPr>
        <w:t>Показатели, установленные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АО «</w:t>
      </w:r>
      <w:r>
        <w:rPr>
          <w:rFonts w:ascii="Times New Roman" w:hAnsi="Times New Roman"/>
          <w:color w:val="000000"/>
        </w:rPr>
        <w:t>РЭЦ</w:t>
      </w:r>
      <w:r>
        <w:rPr>
          <w:rFonts w:ascii="Times New Roman" w:hAnsi="Times New Roman"/>
          <w:color w:val="000000"/>
        </w:rPr>
        <w:t xml:space="preserve">» </w:t>
      </w:r>
      <w:r>
        <w:rPr>
          <w:rFonts w:ascii="Times New Roman" w:hAnsi="Times New Roman"/>
          <w:color w:val="000000"/>
        </w:rPr>
        <w:t xml:space="preserve">в рамках национального проекта </w:t>
      </w:r>
      <w:r>
        <w:rPr>
          <w:rFonts w:ascii="Times New Roman" w:hAnsi="Times New Roman"/>
          <w:color w:val="000000"/>
        </w:rPr>
        <w:t>«Акселерация субъектов МСП»</w:t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  <w:color w:val="000000"/>
        </w:rPr>
        <w:t>на 2023 год:</w:t>
      </w:r>
    </w:p>
    <w:tbl>
      <w:tblPr>
        <w:tblStyle w:val="Style_1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579"/>
        <w:gridCol w:w="7035"/>
        <w:gridCol w:w="1097"/>
        <w:gridCol w:w="1155"/>
      </w:tblGrid>
      <w:tr>
        <w:trPr>
          <w:trHeight w:hRule="atLeast" w:val="360"/>
        </w:trPr>
        <w:tc>
          <w:tcPr>
            <w:tcW w:type="dxa" w:w="5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№</w:t>
            </w:r>
          </w:p>
        </w:tc>
        <w:tc>
          <w:tcPr>
            <w:tcW w:type="dxa" w:w="7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Наименование показателя</w:t>
            </w:r>
          </w:p>
        </w:tc>
        <w:tc>
          <w:tcPr>
            <w:tcW w:type="dxa" w:w="10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E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План</w:t>
            </w:r>
          </w:p>
        </w:tc>
        <w:tc>
          <w:tcPr>
            <w:tcW w:type="dxa" w:w="11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1F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Факт</w:t>
            </w:r>
          </w:p>
        </w:tc>
      </w:tr>
      <w:tr>
        <w:trPr>
          <w:trHeight w:hRule="atLeast" w:val="360"/>
        </w:trPr>
        <w:tc>
          <w:tcPr>
            <w:tcW w:type="dxa" w:w="5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0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</w:t>
            </w:r>
          </w:p>
        </w:tc>
        <w:tc>
          <w:tcPr>
            <w:tcW w:type="dxa" w:w="7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1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СМСП, получивших услуги, шт</w:t>
            </w:r>
            <w:r>
              <w:rPr>
                <w:rFonts w:ascii="Times New Roman" w:hAnsi="Times New Roman"/>
                <w:sz w:val="24"/>
              </w:rPr>
              <w:t>.</w:t>
            </w:r>
          </w:p>
        </w:tc>
        <w:tc>
          <w:tcPr>
            <w:tcW w:type="dxa" w:w="10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2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200</w:t>
            </w:r>
          </w:p>
        </w:tc>
        <w:tc>
          <w:tcPr>
            <w:tcW w:type="dxa" w:w="11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3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253</w:t>
            </w:r>
          </w:p>
        </w:tc>
      </w:tr>
      <w:tr>
        <w:trPr>
          <w:trHeight w:hRule="atLeast" w:val="360"/>
        </w:trPr>
        <w:tc>
          <w:tcPr>
            <w:tcW w:type="dxa" w:w="5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4000000">
            <w:pPr>
              <w:ind/>
              <w:jc w:val="center"/>
              <w:rPr>
                <w:rFonts w:ascii="Times New Roman" w:hAnsi="Times New Roman"/>
                <w:i w:val="1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1.1</w:t>
            </w:r>
          </w:p>
        </w:tc>
        <w:tc>
          <w:tcPr>
            <w:tcW w:type="dxa" w:w="7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5000000">
            <w:pPr>
              <w:ind w:firstLine="425"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в том числе:</w:t>
            </w:r>
          </w:p>
          <w:p w14:paraId="26000000">
            <w:pPr>
              <w:ind w:firstLine="425" w:left="0"/>
              <w:rPr>
                <w:rFonts w:ascii="Times New Roman" w:hAnsi="Times New Roman"/>
                <w:i w:val="1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количество СМСП, получивших услуги ЦПЭ, шт</w:t>
            </w:r>
            <w:r>
              <w:rPr>
                <w:rFonts w:ascii="Times New Roman" w:hAnsi="Times New Roman"/>
                <w:i w:val="1"/>
                <w:sz w:val="24"/>
              </w:rPr>
              <w:t>.</w:t>
            </w:r>
          </w:p>
        </w:tc>
        <w:tc>
          <w:tcPr>
            <w:tcW w:type="dxa" w:w="10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7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1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8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134</w:t>
            </w:r>
          </w:p>
        </w:tc>
      </w:tr>
      <w:tr>
        <w:trPr>
          <w:trHeight w:hRule="atLeast" w:val="360"/>
        </w:trPr>
        <w:tc>
          <w:tcPr>
            <w:tcW w:type="dxa" w:w="5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9000000">
            <w:pPr>
              <w:ind/>
              <w:jc w:val="center"/>
              <w:rPr>
                <w:rFonts w:ascii="Times New Roman" w:hAnsi="Times New Roman"/>
                <w:i w:val="1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1.2</w:t>
            </w:r>
          </w:p>
        </w:tc>
        <w:tc>
          <w:tcPr>
            <w:tcW w:type="dxa" w:w="7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A000000">
            <w:pPr>
              <w:ind w:firstLine="425" w:left="0"/>
              <w:rPr>
                <w:rFonts w:ascii="Times New Roman" w:hAnsi="Times New Roman"/>
                <w:i w:val="1"/>
                <w:sz w:val="24"/>
              </w:rPr>
            </w:pPr>
            <w:r>
              <w:rPr>
                <w:rFonts w:ascii="Times New Roman" w:hAnsi="Times New Roman"/>
                <w:i w:val="1"/>
                <w:sz w:val="24"/>
              </w:rPr>
              <w:t>количество СМСП, получивших услуги РЭЦ, шт</w:t>
            </w:r>
            <w:r>
              <w:rPr>
                <w:rFonts w:ascii="Times New Roman" w:hAnsi="Times New Roman"/>
                <w:i w:val="1"/>
                <w:sz w:val="24"/>
              </w:rPr>
              <w:t>.</w:t>
            </w:r>
          </w:p>
        </w:tc>
        <w:tc>
          <w:tcPr>
            <w:tcW w:type="dxa" w:w="10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B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100</w:t>
            </w:r>
          </w:p>
        </w:tc>
        <w:tc>
          <w:tcPr>
            <w:tcW w:type="dxa" w:w="11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C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167</w:t>
            </w:r>
          </w:p>
        </w:tc>
      </w:tr>
      <w:tr>
        <w:trPr>
          <w:trHeight w:hRule="atLeast" w:val="360"/>
        </w:trPr>
        <w:tc>
          <w:tcPr>
            <w:tcW w:type="dxa" w:w="5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D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2</w:t>
            </w:r>
          </w:p>
        </w:tc>
        <w:tc>
          <w:tcPr>
            <w:tcW w:type="dxa" w:w="7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2E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Количество СМСП, заключивших экспортные контракты</w:t>
            </w:r>
            <w:r>
              <w:rPr>
                <w:rFonts w:ascii="Times New Roman" w:hAnsi="Times New Roman"/>
                <w:sz w:val="24"/>
              </w:rPr>
              <w:t xml:space="preserve"> при содействии ЦПЭ</w:t>
            </w:r>
            <w:r>
              <w:rPr>
                <w:rFonts w:ascii="Times New Roman" w:hAnsi="Times New Roman"/>
                <w:sz w:val="24"/>
              </w:rPr>
              <w:t>, шт.</w:t>
            </w:r>
          </w:p>
        </w:tc>
        <w:tc>
          <w:tcPr>
            <w:tcW w:type="dxa" w:w="10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2F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8</w:t>
            </w:r>
          </w:p>
        </w:tc>
        <w:tc>
          <w:tcPr>
            <w:tcW w:type="dxa" w:w="11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0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15</w:t>
            </w:r>
          </w:p>
        </w:tc>
      </w:tr>
      <w:tr>
        <w:trPr>
          <w:trHeight w:hRule="atLeast" w:val="360"/>
        </w:trPr>
        <w:tc>
          <w:tcPr>
            <w:tcW w:type="dxa" w:w="57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1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</w:t>
            </w:r>
          </w:p>
        </w:tc>
        <w:tc>
          <w:tcPr>
            <w:tcW w:type="dxa" w:w="703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32000000">
            <w:pPr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Объем поддержанного экспорта, млн. долларов США</w:t>
            </w:r>
          </w:p>
        </w:tc>
        <w:tc>
          <w:tcPr>
            <w:tcW w:type="dxa" w:w="1097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3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3,40</w:t>
            </w:r>
          </w:p>
        </w:tc>
        <w:tc>
          <w:tcPr>
            <w:tcW w:type="dxa" w:w="1155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  <w:vAlign w:val="center"/>
          </w:tcPr>
          <w:p w14:paraId="34000000">
            <w:pPr>
              <w:ind/>
              <w:jc w:val="center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6,109</w:t>
            </w:r>
          </w:p>
        </w:tc>
      </w:tr>
    </w:tbl>
    <w:p w14:paraId="35000000">
      <w:pPr>
        <w:rPr>
          <w:rFonts w:ascii="Times New Roman" w:hAnsi="Times New Roman"/>
        </w:rPr>
      </w:pPr>
    </w:p>
    <w:p w14:paraId="36000000">
      <w:pPr>
        <w:ind w:firstLine="709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В 2024 году перед Центром стоят те же задачи: выполнение показателей национального проекта </w:t>
      </w:r>
      <w:r>
        <w:rPr>
          <w:rFonts w:ascii="Times New Roman" w:hAnsi="Times New Roman"/>
        </w:rPr>
        <w:t>«Акселерация субъектов МСП»</w:t>
      </w:r>
      <w:r>
        <w:rPr>
          <w:rFonts w:ascii="Times New Roman" w:hAnsi="Times New Roman"/>
        </w:rPr>
        <w:t>, активизация экспортной деятельности субъектов МСП</w:t>
      </w:r>
      <w:r>
        <w:rPr>
          <w:rFonts w:ascii="Times New Roman" w:hAnsi="Times New Roman"/>
        </w:rPr>
        <w:t>.</w:t>
      </w:r>
    </w:p>
    <w:p w14:paraId="37000000">
      <w:pPr>
        <w:ind w:firstLine="709" w:left="0"/>
        <w:rPr>
          <w:rFonts w:ascii="Times New Roman" w:hAnsi="Times New Roman"/>
        </w:rPr>
      </w:pPr>
      <w:r>
        <w:rPr>
          <w:rFonts w:ascii="Times New Roman" w:hAnsi="Times New Roman"/>
        </w:rPr>
        <w:t>Данные задачи будут обеспечены посредством</w:t>
      </w:r>
      <w:r>
        <w:rPr>
          <w:rFonts w:ascii="Times New Roman" w:hAnsi="Times New Roman"/>
        </w:rPr>
        <w:t xml:space="preserve"> проведения следующих основных мероприятий</w:t>
      </w:r>
      <w:r>
        <w:rPr>
          <w:rFonts w:ascii="Times New Roman" w:hAnsi="Times New Roman"/>
        </w:rPr>
        <w:t>:</w:t>
      </w:r>
    </w:p>
    <w:p w14:paraId="38000000">
      <w:pPr>
        <w:ind w:firstLine="709" w:left="0"/>
        <w:rPr>
          <w:rFonts w:ascii="Times New Roman" w:hAnsi="Times New Roman"/>
        </w:rPr>
      </w:pPr>
      <w:r>
        <w:rPr>
          <w:rFonts w:ascii="Times New Roman" w:hAnsi="Times New Roman"/>
        </w:rPr>
        <w:t>1)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>организаци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</w:rPr>
        <w:t xml:space="preserve"> участия субъектов МСП в международных выставочно-ярмарочных мероприятиях на коллективном стенде, в том числе:</w:t>
      </w:r>
    </w:p>
    <w:p w14:paraId="39000000">
      <w:pPr>
        <w:ind w:firstLine="709" w:left="0"/>
        <w:rPr>
          <w:rFonts w:ascii="Times New Roman" w:hAnsi="Times New Roman"/>
        </w:rPr>
      </w:pPr>
      <w:r>
        <w:rPr>
          <w:rFonts w:ascii="Times New Roman" w:hAnsi="Times New Roman"/>
        </w:rPr>
        <w:t>– в международной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выставке </w:t>
      </w:r>
      <w:r>
        <w:rPr>
          <w:rFonts w:ascii="Times New Roman" w:hAnsi="Times New Roman"/>
        </w:rPr>
        <w:t>«Т</w:t>
      </w:r>
      <w:r>
        <w:rPr>
          <w:rFonts w:ascii="Times New Roman" w:hAnsi="Times New Roman"/>
        </w:rPr>
        <w:t>уризм и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путешествия</w:t>
      </w:r>
      <w:r>
        <w:rPr>
          <w:rFonts w:ascii="Times New Roman" w:hAnsi="Times New Roman"/>
        </w:rPr>
        <w:t xml:space="preserve">» (KITF-2024)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г</w:t>
      </w:r>
      <w:r>
        <w:rPr>
          <w:rFonts w:ascii="Times New Roman" w:hAnsi="Times New Roman"/>
        </w:rPr>
        <w:t>. </w:t>
      </w:r>
      <w:r>
        <w:rPr>
          <w:rFonts w:ascii="Times New Roman" w:hAnsi="Times New Roman"/>
        </w:rPr>
        <w:t>Алматы</w:t>
      </w:r>
      <w:r>
        <w:rPr>
          <w:rFonts w:ascii="Times New Roman" w:hAnsi="Times New Roman"/>
        </w:rPr>
        <w:t xml:space="preserve"> (</w:t>
      </w:r>
      <w:r>
        <w:rPr>
          <w:rFonts w:ascii="Times New Roman" w:hAnsi="Times New Roman"/>
        </w:rPr>
        <w:t>Казахстан</w:t>
      </w:r>
      <w:r>
        <w:rPr>
          <w:rFonts w:ascii="Times New Roman" w:hAnsi="Times New Roman"/>
        </w:rPr>
        <w:t xml:space="preserve">)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</w:rPr>
        <w:t xml:space="preserve"> 24.04.2024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</w:rPr>
        <w:t xml:space="preserve"> 26.04.</w:t>
      </w:r>
      <w:r>
        <w:rPr>
          <w:rFonts w:ascii="Times New Roman" w:hAnsi="Times New Roman"/>
        </w:rPr>
        <w:t>20</w:t>
      </w:r>
      <w:r>
        <w:rPr>
          <w:rFonts w:ascii="Times New Roman" w:hAnsi="Times New Roman"/>
        </w:rPr>
        <w:t>24;</w:t>
      </w:r>
    </w:p>
    <w:p w14:paraId="3A000000">
      <w:pPr>
        <w:ind w:firstLine="709" w:left="0"/>
        <w:rPr>
          <w:rFonts w:ascii="Times New Roman" w:hAnsi="Times New Roman"/>
        </w:rPr>
      </w:pPr>
      <w:r>
        <w:rPr>
          <w:rFonts w:ascii="Times New Roman" w:hAnsi="Times New Roman"/>
        </w:rPr>
        <w:t>–</w:t>
      </w:r>
      <w:r>
        <w:rPr>
          <w:rFonts w:ascii="Times New Roman" w:hAnsi="Times New Roman"/>
        </w:rPr>
        <w:t> </w:t>
      </w:r>
      <w:r>
        <w:rPr>
          <w:rFonts w:ascii="Times New Roman" w:hAnsi="Times New Roman"/>
        </w:rPr>
        <w:t xml:space="preserve">в </w:t>
      </w:r>
      <w:r>
        <w:rPr>
          <w:rFonts w:ascii="Times New Roman" w:hAnsi="Times New Roman"/>
        </w:rPr>
        <w:t>международной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выставке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China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International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Travel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Mart</w:t>
      </w:r>
      <w:r>
        <w:rPr>
          <w:rFonts w:ascii="Times New Roman" w:hAnsi="Times New Roman"/>
        </w:rPr>
        <w:t xml:space="preserve"> (</w:t>
      </w:r>
      <w:r>
        <w:rPr>
          <w:rFonts w:ascii="Times New Roman" w:hAnsi="Times New Roman"/>
        </w:rPr>
        <w:t>CITM</w:t>
      </w:r>
      <w:r>
        <w:rPr>
          <w:rFonts w:ascii="Times New Roman" w:hAnsi="Times New Roman"/>
        </w:rPr>
        <w:t xml:space="preserve">-2024)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г</w:t>
      </w:r>
      <w:r>
        <w:rPr>
          <w:rFonts w:ascii="Times New Roman" w:hAnsi="Times New Roman"/>
        </w:rPr>
        <w:t>. </w:t>
      </w:r>
      <w:r>
        <w:rPr>
          <w:rFonts w:ascii="Times New Roman" w:hAnsi="Times New Roman"/>
        </w:rPr>
        <w:t>Шанхай</w:t>
      </w:r>
      <w:r>
        <w:rPr>
          <w:rFonts w:ascii="Times New Roman" w:hAnsi="Times New Roman"/>
        </w:rPr>
        <w:t xml:space="preserve"> (</w:t>
      </w:r>
      <w:r>
        <w:rPr>
          <w:rFonts w:ascii="Times New Roman" w:hAnsi="Times New Roman"/>
        </w:rPr>
        <w:t>Китай</w:t>
      </w:r>
      <w:r>
        <w:rPr>
          <w:rFonts w:ascii="Times New Roman" w:hAnsi="Times New Roman"/>
        </w:rPr>
        <w:t xml:space="preserve">)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</w:rPr>
        <w:t xml:space="preserve"> 01.10.</w:t>
      </w:r>
      <w:r>
        <w:rPr>
          <w:rFonts w:ascii="Times New Roman" w:hAnsi="Times New Roman"/>
        </w:rPr>
        <w:t>20</w:t>
      </w:r>
      <w:r>
        <w:rPr>
          <w:rFonts w:ascii="Times New Roman" w:hAnsi="Times New Roman"/>
        </w:rPr>
        <w:t xml:space="preserve">24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</w:rPr>
        <w:t xml:space="preserve"> 03.10.</w:t>
      </w:r>
      <w:r>
        <w:rPr>
          <w:rFonts w:ascii="Times New Roman" w:hAnsi="Times New Roman"/>
        </w:rPr>
        <w:t>20</w:t>
      </w:r>
      <w:r>
        <w:rPr>
          <w:rFonts w:ascii="Times New Roman" w:hAnsi="Times New Roman"/>
        </w:rPr>
        <w:t>24;</w:t>
      </w:r>
    </w:p>
    <w:p w14:paraId="3B000000">
      <w:pPr>
        <w:ind w:firstLine="709" w:left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– в </w:t>
      </w:r>
      <w:r>
        <w:rPr>
          <w:rFonts w:ascii="Times New Roman" w:hAnsi="Times New Roman"/>
        </w:rPr>
        <w:t>международной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выставке</w:t>
      </w:r>
      <w:r>
        <w:rPr>
          <w:rFonts w:ascii="Times New Roman" w:hAnsi="Times New Roman"/>
        </w:rPr>
        <w:t xml:space="preserve"> Seafood Expo Russia </w:t>
      </w:r>
      <w:r>
        <w:rPr>
          <w:rFonts w:ascii="Times New Roman" w:hAnsi="Times New Roman"/>
        </w:rPr>
        <w:t>в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г</w:t>
      </w:r>
      <w:r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Санкт</w:t>
      </w:r>
      <w:r>
        <w:rPr>
          <w:rFonts w:ascii="Times New Roman" w:hAnsi="Times New Roman"/>
        </w:rPr>
        <w:t>-</w:t>
      </w:r>
      <w:r>
        <w:rPr>
          <w:rFonts w:ascii="Times New Roman" w:hAnsi="Times New Roman"/>
        </w:rPr>
        <w:t>Петербург</w:t>
      </w:r>
      <w:r>
        <w:rPr>
          <w:rFonts w:ascii="Times New Roman" w:hAnsi="Times New Roman"/>
        </w:rPr>
        <w:t xml:space="preserve"> (</w:t>
      </w:r>
      <w:r>
        <w:rPr>
          <w:rFonts w:ascii="Times New Roman" w:hAnsi="Times New Roman"/>
        </w:rPr>
        <w:t>Россия</w:t>
      </w:r>
      <w:r>
        <w:rPr>
          <w:rFonts w:ascii="Times New Roman" w:hAnsi="Times New Roman"/>
        </w:rPr>
        <w:t xml:space="preserve">)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</w:rPr>
        <w:t xml:space="preserve"> 17.09.</w:t>
      </w:r>
      <w:r>
        <w:rPr>
          <w:rFonts w:ascii="Times New Roman" w:hAnsi="Times New Roman"/>
        </w:rPr>
        <w:t>20</w:t>
      </w:r>
      <w:r>
        <w:rPr>
          <w:rFonts w:ascii="Times New Roman" w:hAnsi="Times New Roman"/>
        </w:rPr>
        <w:t xml:space="preserve">24 </w:t>
      </w:r>
      <w:r>
        <w:rPr>
          <w:rFonts w:ascii="Times New Roman" w:hAnsi="Times New Roman"/>
        </w:rPr>
        <w:t>по</w:t>
      </w:r>
      <w:r>
        <w:rPr>
          <w:rFonts w:ascii="Times New Roman" w:hAnsi="Times New Roman"/>
        </w:rPr>
        <w:t xml:space="preserve"> 19.09.</w:t>
      </w:r>
      <w:r>
        <w:rPr>
          <w:rFonts w:ascii="Times New Roman" w:hAnsi="Times New Roman"/>
        </w:rPr>
        <w:t>20</w:t>
      </w:r>
      <w:r>
        <w:rPr>
          <w:rFonts w:ascii="Times New Roman" w:hAnsi="Times New Roman"/>
        </w:rPr>
        <w:t>24;</w:t>
      </w:r>
    </w:p>
    <w:p w14:paraId="3C000000">
      <w:pPr>
        <w:ind w:firstLine="709" w:left="0"/>
        <w:rPr>
          <w:rFonts w:ascii="Times New Roman" w:hAnsi="Times New Roman"/>
        </w:rPr>
      </w:pPr>
      <w:r>
        <w:rPr>
          <w:rFonts w:ascii="Times New Roman" w:hAnsi="Times New Roman"/>
        </w:rPr>
        <w:t>2) </w:t>
      </w:r>
      <w:r>
        <w:rPr>
          <w:rFonts w:ascii="Times New Roman" w:hAnsi="Times New Roman"/>
        </w:rPr>
        <w:t>организаци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</w:rPr>
        <w:t xml:space="preserve"> участия субъектов МСП в международном выставочно-ярмарочном мероприятии на индивидуальном стенде </w:t>
      </w:r>
      <w:r>
        <w:rPr>
          <w:rFonts w:ascii="Times New Roman" w:hAnsi="Times New Roman"/>
        </w:rPr>
        <w:t xml:space="preserve">– </w:t>
      </w:r>
      <w:r>
        <w:rPr>
          <w:rFonts w:ascii="Times New Roman" w:hAnsi="Times New Roman"/>
        </w:rPr>
        <w:t>в международной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выставке туризма и индустрии гостеприимства </w:t>
      </w:r>
      <w:r>
        <w:rPr>
          <w:rFonts w:ascii="Times New Roman" w:hAnsi="Times New Roman"/>
        </w:rPr>
        <w:t>MITT</w:t>
      </w:r>
      <w:r>
        <w:rPr>
          <w:rFonts w:ascii="Times New Roman" w:hAnsi="Times New Roman"/>
        </w:rPr>
        <w:t>-2024 в г. Москва (</w:t>
      </w:r>
      <w:r>
        <w:rPr>
          <w:rFonts w:ascii="Times New Roman" w:hAnsi="Times New Roman"/>
        </w:rPr>
        <w:t>Россия</w:t>
      </w:r>
      <w:r>
        <w:rPr>
          <w:rFonts w:ascii="Times New Roman" w:hAnsi="Times New Roman"/>
        </w:rPr>
        <w:t xml:space="preserve">) </w:t>
      </w:r>
      <w:r>
        <w:rPr>
          <w:rFonts w:ascii="Times New Roman" w:hAnsi="Times New Roman"/>
        </w:rPr>
        <w:t>с</w:t>
      </w:r>
      <w:r>
        <w:rPr>
          <w:rFonts w:ascii="Times New Roman" w:hAnsi="Times New Roman"/>
        </w:rPr>
        <w:t xml:space="preserve"> 19.03.2024 по 21.03.2024;</w:t>
      </w:r>
    </w:p>
    <w:p w14:paraId="3D000000">
      <w:pPr>
        <w:ind w:firstLine="709" w:left="0"/>
        <w:rPr>
          <w:rFonts w:ascii="Times New Roman" w:hAnsi="Times New Roman"/>
        </w:rPr>
      </w:pPr>
      <w:bookmarkStart w:id="1" w:name="_GoBack"/>
      <w:bookmarkEnd w:id="1"/>
      <w:r>
        <w:rPr>
          <w:rFonts w:ascii="Times New Roman" w:hAnsi="Times New Roman"/>
        </w:rPr>
        <w:t>3) организаци</w:t>
      </w:r>
      <w:r>
        <w:rPr>
          <w:rFonts w:ascii="Times New Roman" w:hAnsi="Times New Roman"/>
        </w:rPr>
        <w:t>и</w:t>
      </w:r>
      <w:r>
        <w:rPr>
          <w:rFonts w:ascii="Times New Roman" w:hAnsi="Times New Roman"/>
        </w:rPr>
        <w:t xml:space="preserve"> участия субъектов МСП в реверсной бизнес-миссии в Республику Беларусь с 02.09.2024 по 27.09.2024.</w:t>
      </w:r>
    </w:p>
    <w:sectPr>
      <w:pgSz w:h="16838" w:orient="portrait" w:w="11906"/>
      <w:pgMar w:bottom="1134" w:footer="720" w:gutter="0" w:header="720" w:left="1304" w:right="737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ind/>
      <w:jc w:val="both"/>
    </w:pPr>
    <w:rPr>
      <w:sz w:val="28"/>
    </w:rPr>
  </w:style>
  <w:style w:default="1" w:styleId="Style_2_ch" w:type="character">
    <w:name w:val="Normal"/>
    <w:link w:val="Style_2"/>
    <w:rPr>
      <w:sz w:val="28"/>
    </w:rPr>
  </w:style>
  <w:style w:styleId="Style_3" w:type="paragraph">
    <w:name w:val="Обычный1"/>
    <w:link w:val="Style_3_ch"/>
    <w:rPr>
      <w:rFonts w:ascii="XO Thames" w:hAnsi="XO Thames"/>
      <w:sz w:val="28"/>
    </w:rPr>
  </w:style>
  <w:style w:styleId="Style_3_ch" w:type="character">
    <w:name w:val="Обычный1"/>
    <w:link w:val="Style_3"/>
    <w:rPr>
      <w:rFonts w:ascii="XO Thames" w:hAnsi="XO Thames"/>
      <w:sz w:val="28"/>
    </w:rPr>
  </w:style>
  <w:style w:styleId="Style_4" w:type="paragraph">
    <w:name w:val="toc 2"/>
    <w:next w:val="Style_2"/>
    <w:link w:val="Style_4_ch"/>
    <w:uiPriority w:val="39"/>
    <w:pPr>
      <w:ind w:firstLine="0" w:left="200"/>
    </w:pPr>
    <w:rPr>
      <w:sz w:val="28"/>
    </w:rPr>
  </w:style>
  <w:style w:styleId="Style_4_ch" w:type="character">
    <w:name w:val="toc 2"/>
    <w:link w:val="Style_4"/>
    <w:rPr>
      <w:sz w:val="28"/>
    </w:rPr>
  </w:style>
  <w:style w:styleId="Style_5" w:type="paragraph">
    <w:name w:val="toc 4"/>
    <w:next w:val="Style_2"/>
    <w:link w:val="Style_5_ch"/>
    <w:uiPriority w:val="39"/>
    <w:pPr>
      <w:ind w:firstLine="0" w:left="600"/>
    </w:pPr>
    <w:rPr>
      <w:sz w:val="28"/>
    </w:rPr>
  </w:style>
  <w:style w:styleId="Style_5_ch" w:type="character">
    <w:name w:val="toc 4"/>
    <w:link w:val="Style_5"/>
    <w:rPr>
      <w:sz w:val="28"/>
    </w:rPr>
  </w:style>
  <w:style w:styleId="Style_6" w:type="paragraph">
    <w:name w:val="toc 6"/>
    <w:next w:val="Style_2"/>
    <w:link w:val="Style_6_ch"/>
    <w:uiPriority w:val="39"/>
    <w:pPr>
      <w:ind w:firstLine="0" w:left="1000"/>
    </w:pPr>
    <w:rPr>
      <w:sz w:val="28"/>
    </w:rPr>
  </w:style>
  <w:style w:styleId="Style_6_ch" w:type="character">
    <w:name w:val="toc 6"/>
    <w:link w:val="Style_6"/>
    <w:rPr>
      <w:sz w:val="28"/>
    </w:rPr>
  </w:style>
  <w:style w:styleId="Style_7" w:type="paragraph">
    <w:name w:val="toc 7"/>
    <w:next w:val="Style_2"/>
    <w:link w:val="Style_7_ch"/>
    <w:uiPriority w:val="39"/>
    <w:pPr>
      <w:ind w:firstLine="0" w:left="1200"/>
    </w:pPr>
    <w:rPr>
      <w:sz w:val="28"/>
    </w:rPr>
  </w:style>
  <w:style w:styleId="Style_7_ch" w:type="character">
    <w:name w:val="toc 7"/>
    <w:link w:val="Style_7"/>
    <w:rPr>
      <w:sz w:val="28"/>
    </w:rPr>
  </w:style>
  <w:style w:styleId="Style_8" w:type="paragraph">
    <w:name w:val="Endnote"/>
    <w:link w:val="Style_8_ch"/>
    <w:pPr>
      <w:ind w:firstLine="851" w:left="0"/>
      <w:jc w:val="both"/>
    </w:pPr>
    <w:rPr>
      <w:sz w:val="22"/>
    </w:rPr>
  </w:style>
  <w:style w:styleId="Style_8_ch" w:type="character">
    <w:name w:val="Endnote"/>
    <w:link w:val="Style_8"/>
    <w:rPr>
      <w:sz w:val="22"/>
    </w:rPr>
  </w:style>
  <w:style w:styleId="Style_9" w:type="paragraph">
    <w:name w:val="heading 3"/>
    <w:next w:val="Style_2"/>
    <w:link w:val="Style_9_ch"/>
    <w:uiPriority w:val="9"/>
    <w:qFormat/>
    <w:pPr>
      <w:spacing w:after="120" w:before="120"/>
      <w:ind/>
      <w:jc w:val="both"/>
      <w:outlineLvl w:val="2"/>
    </w:pPr>
    <w:rPr>
      <w:b w:val="1"/>
      <w:sz w:val="26"/>
    </w:rPr>
  </w:style>
  <w:style w:styleId="Style_9_ch" w:type="character">
    <w:name w:val="heading 3"/>
    <w:link w:val="Style_9"/>
    <w:rPr>
      <w:b w:val="1"/>
      <w:sz w:val="26"/>
    </w:rPr>
  </w:style>
  <w:style w:styleId="Style_10" w:type="paragraph">
    <w:name w:val="toc 3"/>
    <w:next w:val="Style_2"/>
    <w:link w:val="Style_10_ch"/>
    <w:uiPriority w:val="39"/>
    <w:pPr>
      <w:ind w:firstLine="0" w:left="400"/>
    </w:pPr>
    <w:rPr>
      <w:sz w:val="28"/>
    </w:rPr>
  </w:style>
  <w:style w:styleId="Style_10_ch" w:type="character">
    <w:name w:val="toc 3"/>
    <w:link w:val="Style_10"/>
    <w:rPr>
      <w:sz w:val="28"/>
    </w:rPr>
  </w:style>
  <w:style w:styleId="Style_11" w:type="paragraph">
    <w:name w:val="heading 5"/>
    <w:next w:val="Style_2"/>
    <w:link w:val="Style_11_ch"/>
    <w:uiPriority w:val="9"/>
    <w:qFormat/>
    <w:pPr>
      <w:spacing w:after="120" w:before="120"/>
      <w:ind/>
      <w:jc w:val="both"/>
      <w:outlineLvl w:val="4"/>
    </w:pPr>
    <w:rPr>
      <w:b w:val="1"/>
      <w:sz w:val="22"/>
    </w:rPr>
  </w:style>
  <w:style w:styleId="Style_11_ch" w:type="character">
    <w:name w:val="heading 5"/>
    <w:link w:val="Style_11"/>
    <w:rPr>
      <w:b w:val="1"/>
      <w:sz w:val="22"/>
    </w:rPr>
  </w:style>
  <w:style w:styleId="Style_12" w:type="paragraph">
    <w:name w:val="heading 1"/>
    <w:next w:val="Style_2"/>
    <w:link w:val="Style_12_ch"/>
    <w:uiPriority w:val="9"/>
    <w:qFormat/>
    <w:pPr>
      <w:spacing w:after="120" w:before="120"/>
      <w:ind/>
      <w:jc w:val="both"/>
      <w:outlineLvl w:val="0"/>
    </w:pPr>
    <w:rPr>
      <w:b w:val="1"/>
      <w:sz w:val="32"/>
    </w:rPr>
  </w:style>
  <w:style w:styleId="Style_12_ch" w:type="character">
    <w:name w:val="heading 1"/>
    <w:link w:val="Style_12"/>
    <w:rPr>
      <w:b w:val="1"/>
      <w:sz w:val="32"/>
    </w:rPr>
  </w:style>
  <w:style w:styleId="Style_13" w:type="paragraph">
    <w:name w:val="Hyperlink"/>
    <w:link w:val="Style_13_ch"/>
    <w:rPr>
      <w:color w:val="0000FF"/>
      <w:u w:val="single"/>
    </w:rPr>
  </w:style>
  <w:style w:styleId="Style_13_ch" w:type="character">
    <w:name w:val="Hyperlink"/>
    <w:link w:val="Style_13"/>
    <w:rPr>
      <w:color w:val="0000FF"/>
      <w:u w:val="single"/>
    </w:rPr>
  </w:style>
  <w:style w:styleId="Style_14" w:type="paragraph">
    <w:name w:val="Footnote"/>
    <w:link w:val="Style_14_ch"/>
    <w:pPr>
      <w:ind w:firstLine="851" w:left="0"/>
      <w:jc w:val="both"/>
    </w:pPr>
    <w:rPr>
      <w:sz w:val="22"/>
    </w:rPr>
  </w:style>
  <w:style w:styleId="Style_14_ch" w:type="character">
    <w:name w:val="Footnote"/>
    <w:link w:val="Style_14"/>
    <w:rPr>
      <w:sz w:val="22"/>
    </w:rPr>
  </w:style>
  <w:style w:styleId="Style_15" w:type="paragraph">
    <w:name w:val="toc 1"/>
    <w:next w:val="Style_2"/>
    <w:link w:val="Style_15_ch"/>
    <w:uiPriority w:val="39"/>
    <w:rPr>
      <w:b w:val="1"/>
      <w:sz w:val="28"/>
    </w:rPr>
  </w:style>
  <w:style w:styleId="Style_15_ch" w:type="character">
    <w:name w:val="toc 1"/>
    <w:link w:val="Style_15"/>
    <w:rPr>
      <w:b w:val="1"/>
      <w:sz w:val="28"/>
    </w:rPr>
  </w:style>
  <w:style w:styleId="Style_16" w:type="paragraph">
    <w:name w:val="Default Paragraph Font"/>
    <w:link w:val="Style_16_ch"/>
  </w:style>
  <w:style w:styleId="Style_16_ch" w:type="character">
    <w:name w:val="Default Paragraph Font"/>
    <w:link w:val="Style_16"/>
  </w:style>
  <w:style w:styleId="Style_17" w:type="paragraph">
    <w:name w:val="Header and Footer"/>
    <w:link w:val="Style_17_ch"/>
    <w:pPr>
      <w:ind/>
      <w:jc w:val="both"/>
    </w:pPr>
    <w:rPr>
      <w:sz w:val="20"/>
    </w:rPr>
  </w:style>
  <w:style w:styleId="Style_17_ch" w:type="character">
    <w:name w:val="Header and Footer"/>
    <w:link w:val="Style_17"/>
    <w:rPr>
      <w:sz w:val="20"/>
    </w:rPr>
  </w:style>
  <w:style w:styleId="Style_18" w:type="paragraph">
    <w:name w:val="toc 9"/>
    <w:next w:val="Style_2"/>
    <w:link w:val="Style_18_ch"/>
    <w:uiPriority w:val="39"/>
    <w:pPr>
      <w:ind w:firstLine="0" w:left="1600"/>
    </w:pPr>
    <w:rPr>
      <w:sz w:val="28"/>
    </w:rPr>
  </w:style>
  <w:style w:styleId="Style_18_ch" w:type="character">
    <w:name w:val="toc 9"/>
    <w:link w:val="Style_18"/>
    <w:rPr>
      <w:sz w:val="28"/>
    </w:rPr>
  </w:style>
  <w:style w:styleId="Style_19" w:type="paragraph">
    <w:name w:val="toc 8"/>
    <w:next w:val="Style_2"/>
    <w:link w:val="Style_19_ch"/>
    <w:uiPriority w:val="39"/>
    <w:pPr>
      <w:ind w:firstLine="0" w:left="1400"/>
    </w:pPr>
    <w:rPr>
      <w:sz w:val="28"/>
    </w:rPr>
  </w:style>
  <w:style w:styleId="Style_19_ch" w:type="character">
    <w:name w:val="toc 8"/>
    <w:link w:val="Style_19"/>
    <w:rPr>
      <w:sz w:val="28"/>
    </w:rPr>
  </w:style>
  <w:style w:styleId="Style_20" w:type="paragraph">
    <w:name w:val="Гиперссылка1"/>
    <w:link w:val="Style_20_ch"/>
    <w:rPr>
      <w:color w:val="0000FF"/>
      <w:u w:val="single"/>
    </w:rPr>
  </w:style>
  <w:style w:styleId="Style_20_ch" w:type="character">
    <w:name w:val="Гиперссылка1"/>
    <w:link w:val="Style_20"/>
    <w:rPr>
      <w:color w:val="0000FF"/>
      <w:u w:val="single"/>
    </w:rPr>
  </w:style>
  <w:style w:styleId="Style_21" w:type="paragraph">
    <w:name w:val="toc 5"/>
    <w:next w:val="Style_2"/>
    <w:link w:val="Style_21_ch"/>
    <w:uiPriority w:val="39"/>
    <w:pPr>
      <w:ind w:firstLine="0" w:left="800"/>
    </w:pPr>
    <w:rPr>
      <w:sz w:val="28"/>
    </w:rPr>
  </w:style>
  <w:style w:styleId="Style_21_ch" w:type="character">
    <w:name w:val="toc 5"/>
    <w:link w:val="Style_21"/>
    <w:rPr>
      <w:sz w:val="28"/>
    </w:rPr>
  </w:style>
  <w:style w:styleId="Style_22" w:type="paragraph">
    <w:name w:val="Subtitle"/>
    <w:next w:val="Style_2"/>
    <w:link w:val="Style_22_ch"/>
    <w:uiPriority w:val="11"/>
    <w:qFormat/>
    <w:pPr>
      <w:ind/>
      <w:jc w:val="both"/>
    </w:pPr>
    <w:rPr>
      <w:i w:val="1"/>
    </w:rPr>
  </w:style>
  <w:style w:styleId="Style_22_ch" w:type="character">
    <w:name w:val="Subtitle"/>
    <w:link w:val="Style_22"/>
    <w:rPr>
      <w:i w:val="1"/>
    </w:rPr>
  </w:style>
  <w:style w:styleId="Style_23" w:type="paragraph">
    <w:name w:val="Title"/>
    <w:next w:val="Style_2"/>
    <w:link w:val="Style_23_ch"/>
    <w:uiPriority w:val="10"/>
    <w:qFormat/>
    <w:pPr>
      <w:spacing w:after="567" w:before="567"/>
      <w:ind/>
      <w:jc w:val="center"/>
    </w:pPr>
    <w:rPr>
      <w:b w:val="1"/>
      <w:caps w:val="1"/>
      <w:sz w:val="40"/>
    </w:rPr>
  </w:style>
  <w:style w:styleId="Style_23_ch" w:type="character">
    <w:name w:val="Title"/>
    <w:link w:val="Style_23"/>
    <w:rPr>
      <w:b w:val="1"/>
      <w:caps w:val="1"/>
      <w:sz w:val="40"/>
    </w:rPr>
  </w:style>
  <w:style w:styleId="Style_24" w:type="paragraph">
    <w:name w:val="heading 4"/>
    <w:next w:val="Style_2"/>
    <w:link w:val="Style_24_ch"/>
    <w:uiPriority w:val="9"/>
    <w:qFormat/>
    <w:pPr>
      <w:spacing w:after="120" w:before="120"/>
      <w:ind/>
      <w:jc w:val="both"/>
      <w:outlineLvl w:val="3"/>
    </w:pPr>
    <w:rPr>
      <w:b w:val="1"/>
    </w:rPr>
  </w:style>
  <w:style w:styleId="Style_24_ch" w:type="character">
    <w:name w:val="heading 4"/>
    <w:link w:val="Style_24"/>
    <w:rPr>
      <w:b w:val="1"/>
    </w:rPr>
  </w:style>
  <w:style w:styleId="Style_25" w:type="paragraph">
    <w:name w:val="heading 2"/>
    <w:next w:val="Style_2"/>
    <w:link w:val="Style_25_ch"/>
    <w:uiPriority w:val="9"/>
    <w:qFormat/>
    <w:pPr>
      <w:spacing w:after="120" w:before="120"/>
      <w:ind/>
      <w:jc w:val="both"/>
      <w:outlineLvl w:val="1"/>
    </w:pPr>
    <w:rPr>
      <w:b w:val="1"/>
      <w:sz w:val="28"/>
    </w:rPr>
  </w:style>
  <w:style w:styleId="Style_25_ch" w:type="character">
    <w:name w:val="heading 2"/>
    <w:link w:val="Style_25"/>
    <w:rPr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MyOffice-CoreFramework-Windows/30-1057.739.7955.691.1@6f967f4b4ae0ae6f94b7d59183011075308df4f8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2024-03-06T04:24:07Z</dcterms:modified>
</cp:coreProperties>
</file>