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2727960</wp:posOffset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ГУБЕРНАТОРА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0"/>
          <w:u w:val="single"/>
          <w:lang w:eastAsia="ru-RU"/>
        </w:rPr>
        <w:t xml:space="preserve">325-Р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0"/>
          <w:u w:val="single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0"/>
          <w:u w:val="single"/>
          <w:lang w:eastAsia="ru-RU"/>
        </w:rPr>
        <w:t>28.04.2023</w:t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12"/>
          <w:szCs w:val="28"/>
        </w:rPr>
      </w:pPr>
      <w:r>
        <w:rPr>
          <w:rFonts w:cs="Times New Roman" w:ascii="Times New Roman" w:hAnsi="Times New Roman"/>
          <w:bCs/>
          <w:sz w:val="12"/>
          <w:szCs w:val="28"/>
        </w:rPr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4962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</w:tblGrid>
      <w:tr>
        <w:trPr/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 образовании межведомственной комиссии по поддержке участников специальной военной операции, членов их семей и иных лиц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подпунктом «б» части 10 Указа Президента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Российской Федерации от 03.04.2023 № 232 «О создании Государственного фонда поддержки участников специальной военной операции «Защитники Отечества»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Образовать межведомственную комиссию по поддержке участников специальной военной операции, членов их семей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иных лиц</w:t>
      </w:r>
      <w:r>
        <w:rPr>
          <w:rFonts w:cs="Times New Roman" w:ascii="Times New Roman" w:hAnsi="Times New Roman"/>
          <w:sz w:val="28"/>
          <w:szCs w:val="28"/>
        </w:rPr>
        <w:t xml:space="preserve"> в составе согласно приложению 1 к настоящему распоряжению.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Утвердить положение о межведомственной комиссии по поддержке участников специальной военной операции, членов их семей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иных лиц</w:t>
        <w:br/>
      </w:r>
      <w:r>
        <w:rPr>
          <w:rFonts w:cs="Times New Roman" w:ascii="Times New Roman" w:hAnsi="Times New Roman"/>
          <w:sz w:val="28"/>
          <w:szCs w:val="28"/>
        </w:rPr>
        <w:t>(далее – Комиссия) согласно приложению 2 к настоящему распоряжению.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Возложить на заместителя Председателя Правительства Камчатского края Сивак В.И. руководство и координацию деятельности членов Правительства Камчатского края, руководителей исполнительных органов Камчатского края, не являющихся членами Правительства Камчатского края, по поддержке участников специальной военной операции, членов их семей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иных лиц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Членам Правительства Камчатского края, руководителям исполнительных органов Камчатского края, не являющимся членами Правительства Камчатского края, обеспечить своевременное, безусловное и в полном объеме исполнение протокольных решений Комиссии, поручений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Признать утратившими силу:</w:t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распоряжение Губернатора Камчатского края от 13.03.2023 № 194-Р</w:t>
        <w:br/>
        <w:t>«Об образовании межведомственной комиссии по ресоциализации лиц, уволенных с военной службы, проживающих в Камчатском крае»;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распоряжение Губернатора Камчатского края от 13.04.2023 № 265-Р.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7811" w:type="dxa"/>
        <w:jc w:val="left"/>
        <w:tblInd w:w="18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35"/>
        <w:gridCol w:w="2975"/>
      </w:tblGrid>
      <w:tr>
        <w:trPr>
          <w:trHeight w:val="1737" w:hRule="atLeast"/>
        </w:trPr>
        <w:tc>
          <w:tcPr>
            <w:tcW w:w="4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>
              <w:rPr>
                <w:rFonts w:cs="Times New Roman"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В.В. Солодов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3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0"/>
        <w:gridCol w:w="486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Приложение 1 к распоряжению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Губернатора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28.04.2023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325-Р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межведомственной комиссии по поддержке участников специальной военной операции, членов их семей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иных лиц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(далее – комиссия)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0"/>
        <w:gridCol w:w="356"/>
        <w:gridCol w:w="5751"/>
      </w:tblGrid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Солодов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Владимир Викторович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Губернатор Камчатского края, председатель комиссии;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Сивак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Виктория Ивановна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Председателя Правительства Камчатского края, заместитель председателя комиссии;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Ясевич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Павел Евгеньевич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Председателя Правительства Камчатского края, заместитель председателя комиссии;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Ариарти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Виктория Игоревна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Министра – начальник управления по делам молодежи Министерства развития гражданского общества и молодежи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Гашков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 Васильевич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Министр здравоохранения Камчатского края;</w:t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Горелова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Юлия Олеговна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исполняющий обязанности Министра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Грицай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Евгения Владимировна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директора по организационным вопросам автономной некоммерческой организации «Ресурсный центр добровольчества Камчатского края»</w:t>
              <w:br/>
              <w:t>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Жмурко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Юрий Дмитриевич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 Камчатского краевого отделения Всероссийской общественной организации ветеранов (пенсионеров) войны, труда, Вооруженных сил и правоохранительных органов</w:t>
              <w:br/>
              <w:t>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Калинин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Евгений Викторович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Камчатского регионального отделения Общероссийской общественной организации «Российский Красный Крест»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 w:hRule="atLeast"/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Коваленко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Игорь Семенович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регионального исполкома Общероссийского Народного Фронта в Камчатском крае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Кондрашина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Юлия Сергеевна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представитель актива регионального штаба Комитета семей воинов Отечества в Камчатском крае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Короткова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Александра Юрьевна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Министр образования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Кравец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Людмила Анатольевна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Министра жилищно-коммунального хозяйства и энергетики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Кравченко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Алексей Алексеевич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первый заместитель Администрации Губернатора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Макаров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Евгений Сергеевич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trike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главный федеральный инспектор по Камчатскому краю Аппарата полномочного представителя Президента Российской Федерации в Дальневосточном Федеральном округе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Малеева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Наталья Николаевна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strike w:val="false"/>
                <w:dstrike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trike w:val="false"/>
                <w:dstrike w:val="false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филиала Государственного Фонда поддержки участников военной операции «Защитники Отечества» по Камчатскому краю (по согласованию);</w:t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Михалев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Павел Николаевич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strike w:val="false"/>
                <w:dstrike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trike w:val="false"/>
                <w:dstrike w:val="false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помощник военного комиссара Камчатского края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Михеева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Татьяна Васильевна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/>
                <w:strike w:val="false"/>
                <w:dstrike w:val="false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strike w:val="false"/>
                <w:dstrike w:val="false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управляющего отделением Фонда пенсионного и социального страхования Российской Федерации по Камчатскому краю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Музыкант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 Сергеевич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протоирей, руководитель Отдела по церковной благотворительности и социальному служению Петропавловской и Камчатской епархии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Навроцкая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Наталья Викторовна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trike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руководителя Камчатского регионального штаба #МЫВМЕСТЕ</w:t>
              <w:br/>
              <w:t>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Ниценко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Наталья Борисовна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trike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Министр труда и развития кадрового потенциала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Сафронова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Кира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Министра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Унтилова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Ирина Леонидовна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trike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Законодательного Собрания Камчатского края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Унтилова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Валентина Васильевна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директора краевого государственного автономного учреждения социальной защиты «Комплексный центр социального обслуживания населения Петропавловск-Камчатского городского округа»;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Фесько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Елена Петровна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начальник Управления Министерства юстиции Российской Федерации по Камчатскому краю;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Фирстов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Артем 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временно исполняющий обязанности Министра строительства и жилищной политики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Хмелевский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Константин Валерьевич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Министр спорта Камчатского края;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Якубова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Исанна Ивановна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– главный  эксперт   по  медико-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социальной экспертизе федерального казенного учреждения «Главное бюро медико-социальной экспертизы по Камчатскому краю» Министерства труда и социальной защиты Российской Федерации (по согласованию).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0"/>
        <w:gridCol w:w="486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Приложение 2 к распоряжению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Губернатора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28.04.2023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325-Р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межведомственной комиссии по поддержке участников специальной военной операции, членов их семей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иных лиц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Межведомственная комиссия по поддержке участников специальной военной операции, членов их семей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иных лиц</w:t>
      </w:r>
      <w:r>
        <w:rPr>
          <w:rFonts w:cs="Times New Roman" w:ascii="Times New Roman" w:hAnsi="Times New Roman"/>
          <w:sz w:val="28"/>
          <w:szCs w:val="28"/>
        </w:rPr>
        <w:br/>
        <w:t>(далее – Комиссия) является коллегиальным органом, образованным для координации оказания необходимой социальной поддержки и помощи следующим лицам: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bookmarkStart w:id="1" w:name="Par0"/>
      <w:bookmarkEnd w:id="1"/>
      <w:r>
        <w:rPr>
          <w:rFonts w:cs="Times New Roman" w:ascii="Times New Roman" w:hAnsi="Times New Roman"/>
          <w:sz w:val="28"/>
          <w:szCs w:val="28"/>
        </w:rPr>
        <w:t>ветеранам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cs="Times New Roman" w:ascii="Times New Roman" w:hAnsi="Times New Roman"/>
          <w:sz w:val="28"/>
          <w:szCs w:val="28"/>
        </w:rPr>
        <w:t>2) принимавшим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Республики, начиная с 11 мая 2014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 членам семей лиц, названных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</w:t>
      </w:r>
      <w:hyperlink w:anchor="Par0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пунктах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2 наст</w:t>
      </w:r>
      <w:r>
        <w:rPr>
          <w:rFonts w:cs="Times New Roman" w:ascii="Times New Roman" w:hAnsi="Times New Roman"/>
          <w:sz w:val="28"/>
          <w:szCs w:val="28"/>
        </w:rPr>
        <w:t xml:space="preserve">оящей части, погибших (умерших) при выполнении задач в ходе специальной военной операции (боевых действий), членам семей лиц, названных в </w:t>
      </w:r>
      <w:hyperlink w:anchor="Par0">
        <w:r>
          <w:rPr>
            <w:rFonts w:cs="Times New Roman" w:ascii="Times New Roman" w:hAnsi="Times New Roman"/>
            <w:sz w:val="28"/>
            <w:szCs w:val="28"/>
          </w:rPr>
          <w:t>пунктах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2 настоящей части,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действий); 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членам семей лиц, принимающих участие (содействующих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 Организационно-техническое обеспечение деятельности Комиссии осуществляется Министерством социального благополучия и семейной политики Камчатского края.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Основные задачи и права Комиссии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Основными задачами Комиссии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координация оказания необходимой социальной поддержки и помощи лицам, указанным в пунктах 1–4 части 1 настоящего положения;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 обеспечение согласованных действий исполнительных органов Камчатского края и подведомственных им учреждений, территориальных органов федеральных органов исполнительной власти по Камчатскому краю, общественных объединений и иных организаций при организации работы</w:t>
        <w:br/>
        <w:t>по следующим направлениям поддержки: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предоставление лицам, указанным в пунктах 1 и 2 части 1 настоящего положения (из числа нуждающихся), паллиативной медицинской помощи, услуг по медицинской реабилитации, социальной поддержки и надомного (долговременного) ухода;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оказание психологической и психолого-психотерапевтической помощи лицам, указанным в пунктах 1–4 части 1 настоящего положения, включая первичное психотерапевтическое консультирование с определением последующей тактики их ведения и привлечением в этих целях медицинских психологов и иных специалистов;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организация дополнительного профессионального образования, профессиональной подготовки и переподготовки, повышения квалификации, содействия занятости лиц, указанных в пунктах 1–4 части 1 настоящего положения;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создание условий для социальной адаптации и ресоциализации лиц, указанных в пунктах 1 и 2 части 1 настоящего положения, в том числе с участием социальных координаторов;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оказание услуг, указанных в части 5 постановления Губернатора Камчатского края от 03.10.2022 № 101 «О Центре поддержки военнослужащих и членов их семей»;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рассмотрение вопросов по реконструкции, развитию и (или) модернизации существующей инфраструктуры и созданию новой инфраструктуры государственных и муниципальных медицинских и социальных организаций для оказания медицинской помощи и социальных услуг лицам, указанным в пунктах 1 и 2 части 1 настоящего положения (при необходимости);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5) обобщение и анализ информации исполнения мероприятий </w:t>
        <w:br/>
        <w:t xml:space="preserve">по вопросам поддержки участников специальной военной операции, членов их семей и иных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лиц,</w:t>
      </w:r>
      <w:r>
        <w:rPr>
          <w:rFonts w:cs="Times New Roman" w:ascii="Times New Roman" w:hAnsi="Times New Roman"/>
          <w:sz w:val="28"/>
          <w:szCs w:val="28"/>
        </w:rPr>
        <w:t xml:space="preserve"> оценка эффективности их реализации;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6) выработка предложений и рекомендаций, а также принятие решений по направлениям поддержки участников специальной военной операции, членов их семей и иных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7) рассмотрение иных вопросов, связанных с поддержкой участников специальной военной операции, членов их семей и иных лиц.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Комиссия для выполнения возложенных на нее задач имеет право: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 запрашивать и получать в установленном порядке у исполнительных органов Камчатского края и подведомственных им учреждений,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(далее – органы местного самоуправления), общественных объединений и иных организаций необходимую информацию по вопросам, связанным с основными направлениями деятельности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приглашать и заслушивать на заседаниях Комиссии представителей исполнительных органов Камчатского края и подведомственных им учреждений, территориальных органов федеральных органов исполнительной власти по Камчатскому краю, органов местного самоуправления, общественных объединений и иных организаций, не входящих в состав Комиссии, по вопросам, относящимся к компетенции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участвовать в рамках своей компетенции в подготовке предложений по разработке проектов правовых актов Камчатского края по вопросам поддержки участников специальной военной операции, членов их семей и иных лиц;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4) вносить предложения в органы местного самоуправления, организации и учреждения, участвующие в выполнении мероприятий по вопросам поддержки участников специальной военной операции, членов их семей и иных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</w:t>
      </w:r>
      <w:r>
        <w:rPr>
          <w:rFonts w:cs="Times New Roman" w:ascii="Times New Roman" w:hAnsi="Times New Roman"/>
          <w:sz w:val="28"/>
          <w:szCs w:val="28"/>
        </w:rPr>
        <w:t>, по вопросам, относящимся к компетенции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5) посещать органы местного самоуправления, организации и учреждения, участвующие в выполнении мероприятий по вопросам поддержки участников специальной военной операции, членов их семей и иных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Порядок формирования Комиссии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6. Комиссия формируется в составе председателя, заместителей председателя Комиссии, секретаря и членов Комиссии.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В составе Комиссии из ее членов могут быть определены координаторы по основным направлениям деятельности Комиссии.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 Персональный состав Комиссии утверждается распоряжением Губернатора Камчатского края.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Организация деятельности Комиссии и порядок ее работы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9. Комиссия осуществляет свою деятельность в форме заседаний, проводимых ежемесячно.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10. Заседание Комиссии проводит председатель Комиссии. В случае, если председатель Комиссии не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 заседания Комиссии проводит один из заместителей председателя Комиссии по поручению председателя Комиссии.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11. </w:t>
      </w:r>
      <w:r>
        <w:rPr>
          <w:rFonts w:ascii="Times New Roman" w:hAnsi="Times New Roman"/>
          <w:sz w:val="28"/>
        </w:rPr>
        <w:t xml:space="preserve"> Заседания Комиссии по решению ее председателя проводятся в очной форме. </w:t>
      </w:r>
      <w:r>
        <w:rPr>
          <w:rFonts w:ascii="Times New Roman" w:hAnsi="Times New Roman"/>
          <w:sz w:val="28"/>
          <w:szCs w:val="28"/>
        </w:rPr>
        <w:t>В заседании Комиссии члены Комиссии могут участвовать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3" w:name="_GoBack"/>
      <w:bookmarkEnd w:id="3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Председатель Комиссии: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 руководит деятельностью Комиссии, проводит ее заседания, дает поручения членам Комиссии по вопросам, обсуждаемым на заседании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 определяет место, дату и время заседания Комиссии и утверждает повестку дня ее заседания;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 вносит на обсуждение Комиссии вопросы, связанные с ее деятельностью;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подписывает документы, связанные с деятельностью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5) информирует членов Комиссии о документах и материалах, поступающих в Комиссию;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6) принимает решение о приглашении для участия в заседании Комиссии лиц, не являющихся членами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7) осуществляет общий контроль за реализацией принятых Комиссией решений.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13. Члены Комиссии: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 принимают участие в заседаниях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 участвуют в подготовке материалов, предложений и вопросов, рассматриваемых на заседаниях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выступают с докладами о реализации мероприятий по направлениям деятельности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 принимают участие в обсуждении вопросов и принятии решений на заседаниях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5) вырабатывают предложения по вопросам, относящимся к компетенции Комиссии.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14. Секретарь Комиссии: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 осуществляет подготовку проекта повестки дня заседаний Комиссии, организует подготовку материалов к заседаниям Комиссии, а также проектов соответствующих решений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осуществляет контроль своевременной подготовки ответственными исполнителями материалов к заседанию Комиссии;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обеспечивает информирование членов Комиссии о дате, месте, времени проведения и повестке дня очередного заседания Комиссии, а также обеспечивает их необходимыми материалами;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организует проведение заседаний Комиссии и ведет протокол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 Решения Комиссии оформляются протоколами, которые подписываются председательствующим на ее заседании.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16. Решения Комиссии доводятся до сведения всех лиц, ответственных за их реализацию, путем направления копии протокола заседания Комиссии.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 Результаты работы Комиссии ежемесячно заслушиваются на оперативном совещании у Губернатора Камчатского края.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0810488"/>
    </w:sdtPr>
    <w:sdtContent>
      <w:p>
        <w:pPr>
          <w:pStyle w:val="Style25"/>
          <w:jc w:val="center"/>
          <w:rPr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e44be"/>
    <w:pPr>
      <w:spacing w:before="0" w:after="16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8194-14DE-4DB0-9F30-5EC79B62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LibreOffice/7.5.3.2$Windows_X86_64 LibreOffice_project/9f56dff12ba03b9acd7730a5a481eea045e468f3</Application>
  <AppVersion>15.0000</AppVersion>
  <Pages>11</Pages>
  <Words>1882</Words>
  <Characters>13596</Characters>
  <CharactersWithSpaces>15320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2023-03-17T02:31:00Z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2023-10-10T13:16:37Z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